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drawing xmlns:mc="http://schemas.openxmlformats.org/markup-compatibility/2006">
          <wp:inline>
            <wp:extent cx="4067175" cy="30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1" noMove="0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REPSOL DIESEL TURBO THPD 10W40 (API CI-4/SL)</w:t>
      </w:r>
    </w:p>
    <w:p>
      <w:pPr>
        <w:rPr/>
      </w:pPr>
      <w:r>
        <w:t xml:space="preserve"> </w:t>
      </w:r>
    </w:p>
    <w:p>
      <w:pPr>
        <w:rPr/>
      </w:pPr>
    </w:p>
    <w:p>
      <w:pPr>
        <w:rPr>
          <w:lang w:val="ru-RU"/>
        </w:rPr>
      </w:pPr>
      <w:r>
        <w:rPr>
          <w:lang w:val="ru-RU"/>
        </w:rPr>
        <w:t>Полусинтетическое моторное масло REPSOL DIESEL TURBO THPD 10W40. THPD (Top High Performance Diesel) изготовлено для удовлетворения самых высоких требований, предъявляемых к дизельным двигателям последнего поколения Евро 4 и Евро 3. Продукт специально разработан для современных автомобилей, которым требуется масло, соответствующее спецификации АСЕА Е7, API CI-4 и особенно рекомендуется для транс-портных средств, имеющих системы EGR (Рециркуляция выхлопных газов). Тщательно подобранная формула данного масла позволяет увеличить срок межсервисного обслуживания.</w:t>
      </w:r>
    </w:p>
    <w:p>
      <w:pPr>
        <w:rPr>
          <w:lang w:val="ru-RU"/>
        </w:rPr>
      </w:pPr>
      <w:r>
        <w:rPr>
          <w:lang w:val="ru-RU"/>
        </w:rPr>
        <w:t>Свойства</w:t>
      </w:r>
    </w:p>
    <w:p>
      <w:pPr>
        <w:rPr>
          <w:lang w:val="ru-RU"/>
        </w:rPr>
      </w:pPr>
      <w:r>
        <w:rPr>
          <w:lang w:val="ru-RU"/>
        </w:rPr>
        <w:t>Может применяться при использовании биодизельного топлива с учетом периодов замены масла, определенных производителем.</w:t>
      </w:r>
    </w:p>
    <w:p>
      <w:pPr>
        <w:rPr>
          <w:lang w:val="ru-RU"/>
        </w:rPr>
      </w:pPr>
      <w:r>
        <w:rPr>
          <w:lang w:val="ru-RU"/>
        </w:rPr>
        <w:t>Всесезонное масло, устойчиво при различных температурах, характеризуется стабильностью и высокой устойчивостью на сдвиг, сохраняет первоначальную вязкость в течение всего срока использования.</w:t>
      </w:r>
    </w:p>
    <w:p>
      <w:pPr>
        <w:rPr>
          <w:lang w:val="ru-RU"/>
        </w:rPr>
      </w:pPr>
      <w:r>
        <w:rPr>
          <w:lang w:val="ru-RU"/>
        </w:rPr>
        <w:t>Передовой очищающий комплекс присадок гарантирует полную чистоту деталей двигателя. Исключительная диспергирующая способность, масло рекомендуется для двигателей, оборудованных системами рециркуляции выхлопных газов (EGR).</w:t>
      </w:r>
    </w:p>
    <w:p>
      <w:pPr>
        <w:rPr>
          <w:lang w:val="ru-RU"/>
        </w:rPr>
      </w:pPr>
      <w:r>
        <w:rPr>
          <w:lang w:val="ru-RU"/>
        </w:rPr>
        <w:t>Предотвращает износ поверхности цилиндров, который является характерной для высокофорсированыхдвигателей с наддувом.</w:t>
      </w:r>
    </w:p>
    <w:p>
      <w:pPr>
        <w:rPr>
          <w:lang w:val="ru-RU"/>
        </w:rPr>
      </w:pPr>
      <w:r>
        <w:rPr>
          <w:lang w:val="ru-RU"/>
        </w:rPr>
        <w:t>Благодаря наличию моющих присадок предотвращает образование смолистых отложений и нагара.</w:t>
      </w:r>
    </w:p>
    <w:p>
      <w:pPr>
        <w:rPr>
          <w:lang w:val="ru-RU"/>
        </w:rPr>
      </w:pPr>
      <w:r>
        <w:rPr>
          <w:lang w:val="ru-RU"/>
        </w:rPr>
        <w:t>Щелочное число (Общее щелочное число) обеспечивает высокую способность масла нейтрализовать кисло-ты, образующиеся в процессе сгорания дизельного топлива с различными примесями серы.</w:t>
      </w:r>
    </w:p>
    <w:p>
      <w:pPr>
        <w:rPr>
          <w:lang w:val="ru-RU"/>
        </w:rPr>
      </w:pPr>
      <w:r>
        <w:rPr>
          <w:lang w:val="ru-RU"/>
        </w:rPr>
        <w:t>В зависимости от условий обслуживания и типа двигателя EURO 3, EURO 4 или EURO 5, данный продукт мо-жет позволить увеличить периоды замены масла, при этом обязательным является соблюдение рекомендаций производителя.</w:t>
      </w:r>
    </w:p>
    <w:p>
      <w:pPr>
        <w:rPr>
          <w:lang w:val="ru-RU"/>
        </w:rPr>
      </w:pPr>
      <w:r>
        <w:rPr>
          <w:lang w:val="ru-RU"/>
        </w:rPr>
        <w:t>Стандарты качества                                                                     Декларация соответствия</w:t>
      </w:r>
    </w:p>
    <w:p>
      <w:pPr>
        <w:rPr>
          <w:lang w:val="ru-RU"/>
        </w:rPr>
      </w:pPr>
      <w:r>
        <w:rPr>
          <w:lang w:val="ru-RU"/>
        </w:rPr>
        <w:t>ACEA E7</w:t>
      </w:r>
    </w:p>
    <w:p>
      <w:pPr>
        <w:rPr>
          <w:lang w:val="ru-RU"/>
        </w:rPr>
      </w:pPr>
      <w:r>
        <w:rPr>
          <w:lang w:val="ru-RU"/>
        </w:rPr>
        <w:t>API CI-4/SL</w:t>
      </w:r>
    </w:p>
    <w:p>
      <w:pPr>
        <w:rPr>
          <w:lang w:val="ru-RU"/>
        </w:rPr>
      </w:pPr>
      <w:r>
        <w:rPr>
          <w:lang w:val="ru-RU"/>
        </w:rPr>
        <w:t>MB 228.3</w:t>
      </w:r>
    </w:p>
    <w:p>
      <w:pPr>
        <w:rPr>
          <w:lang w:val="ru-RU"/>
        </w:rPr>
      </w:pPr>
      <w:r>
        <w:rPr>
          <w:lang w:val="ru-RU"/>
        </w:rPr>
        <w:t>MTU Тип 2</w:t>
      </w:r>
    </w:p>
    <w:p>
      <w:pPr>
        <w:rPr>
          <w:lang w:val="ru-RU"/>
        </w:rPr>
      </w:pPr>
      <w:r>
        <w:rPr>
          <w:lang w:val="ru-RU"/>
        </w:rPr>
        <w:t>MAN 3275</w:t>
      </w:r>
    </w:p>
    <w:p>
      <w:pPr>
        <w:rPr>
          <w:lang w:val="ru-RU"/>
        </w:rPr>
      </w:pPr>
      <w:r>
        <w:rPr>
          <w:lang w:val="ru-RU"/>
        </w:rPr>
        <w:t>CUMMINS CES 20077/20076</w:t>
      </w:r>
    </w:p>
    <w:p>
      <w:pPr>
        <w:rPr>
          <w:lang w:val="ru-RU"/>
        </w:rPr>
      </w:pPr>
      <w:r>
        <w:rPr>
          <w:lang w:val="ru-RU"/>
        </w:rPr>
        <w:t>VOLVO VDS-3</w:t>
      </w:r>
    </w:p>
    <w:p>
      <w:pPr>
        <w:rPr>
          <w:lang w:val="ru-RU"/>
        </w:rPr>
      </w:pPr>
      <w:r>
        <w:rPr>
          <w:lang w:val="ru-RU"/>
        </w:rPr>
        <w:t>DEUTZ DQC III-10</w:t>
      </w:r>
    </w:p>
    <w:p>
      <w:pPr>
        <w:rPr>
          <w:lang w:val="ru-RU"/>
        </w:rPr>
      </w:pPr>
      <w:r>
        <w:rPr>
          <w:lang w:val="ru-RU"/>
        </w:rPr>
        <w:t>MACK EO-N</w:t>
      </w:r>
    </w:p>
    <w:p>
      <w:pPr>
        <w:rPr>
          <w:lang w:val="ru-RU"/>
        </w:rPr>
      </w:pPr>
      <w:r>
        <w:rPr>
          <w:lang w:val="ru-RU"/>
        </w:rPr>
        <w:t>CATERPILLAR ECF-2</w:t>
      </w:r>
    </w:p>
    <w:p>
      <w:pPr>
        <w:rPr>
          <w:lang w:val="ru-RU"/>
        </w:rPr>
      </w:pPr>
      <w:r>
        <w:rPr>
          <w:lang w:val="ru-RU"/>
        </w:rPr>
        <w:t>DETROIT DIESEL DDC 93K215</w:t>
      </w:r>
    </w:p>
    <w:p>
      <w:pPr>
        <w:rPr>
          <w:lang w:val="ru-RU"/>
        </w:rPr>
      </w:pPr>
      <w:r>
        <w:rPr>
          <w:lang w:val="ru-RU"/>
        </w:rPr>
        <w:t>RENAULT RLD-2/RLD</w:t>
      </w:r>
    </w:p>
    <w:p>
      <w:pPr>
        <w:rPr>
          <w:lang w:val="ru-RU"/>
        </w:rPr>
      </w:pPr>
      <w:r>
        <w:rPr>
          <w:lang w:val="ru-RU"/>
        </w:rPr>
        <w:t>Технические характеристики</w:t>
      </w:r>
    </w:p>
    <w:p>
      <w:pPr>
        <w:rPr/>
      </w:pPr>
      <w:r>
        <w:t xml:space="preserve"> </w:t>
        <w:tab/>
        <w:t>Единица измерения</w:t>
        <w:tab/>
        <w:t>Метод</w:t>
        <w:tab/>
        <w:t>Значение</w:t>
      </w:r>
    </w:p>
    <w:p>
      <w:pPr>
        <w:rPr>
          <w:lang w:val="ru-RU"/>
        </w:rPr>
      </w:pPr>
      <w:r>
        <w:rPr>
          <w:lang w:val="ru-RU"/>
        </w:rPr>
        <w:t>Степень вязкости</w:t>
        <w:tab/>
        <w:t>–</w:t>
        <w:tab/>
        <w:t>–</w:t>
        <w:tab/>
        <w:t>10W40</w:t>
      </w:r>
    </w:p>
    <w:p>
      <w:pPr>
        <w:rPr>
          <w:lang w:val="ru-RU"/>
        </w:rPr>
      </w:pPr>
      <w:r>
        <w:rPr>
          <w:lang w:val="ru-RU"/>
        </w:rPr>
        <w:t>Плотность при 15°C</w:t>
        <w:tab/>
        <w:t>г/см3</w:t>
        <w:tab/>
        <w:t>ASTM D 4052</w:t>
        <w:tab/>
        <w:t>0,873</w:t>
      </w:r>
    </w:p>
    <w:p>
      <w:pPr>
        <w:rPr>
          <w:lang w:val="ru-RU"/>
        </w:rPr>
      </w:pPr>
      <w:r>
        <w:rPr>
          <w:lang w:val="ru-RU"/>
        </w:rPr>
        <w:t>Вязкость при 100°C</w:t>
        <w:tab/>
        <w:t>сСт</w:t>
        <w:tab/>
        <w:t>ASTM D 445</w:t>
        <w:tab/>
        <w:t>14,6</w:t>
      </w:r>
    </w:p>
    <w:p>
      <w:pPr>
        <w:rPr>
          <w:lang w:val="ru-RU"/>
        </w:rPr>
      </w:pPr>
      <w:r>
        <w:rPr>
          <w:lang w:val="ru-RU"/>
        </w:rPr>
        <w:t>Вязкость при 40°C</w:t>
        <w:tab/>
        <w:t>сСт</w:t>
        <w:tab/>
        <w:t>ASTM D 445</w:t>
        <w:tab/>
        <w:t>90</w:t>
      </w:r>
    </w:p>
    <w:p>
      <w:pPr>
        <w:rPr>
          <w:lang w:val="ru-RU"/>
        </w:rPr>
      </w:pPr>
      <w:r>
        <w:rPr>
          <w:lang w:val="ru-RU"/>
        </w:rPr>
        <w:t>Вязкость при -25°C</w:t>
        <w:tab/>
        <w:t>сП</w:t>
        <w:tab/>
        <w:t>ASTM D 5293</w:t>
        <w:tab/>
        <w:t>7000 максимум</w:t>
      </w:r>
    </w:p>
    <w:p>
      <w:pPr>
        <w:rPr>
          <w:lang w:val="ru-RU"/>
        </w:rPr>
      </w:pPr>
      <w:r>
        <w:rPr>
          <w:lang w:val="ru-RU"/>
        </w:rPr>
        <w:t>Индекс вязкости</w:t>
        <w:tab/>
        <w:t>–</w:t>
        <w:tab/>
        <w:t>ASTM D 2270</w:t>
        <w:tab/>
        <w:t>150</w:t>
      </w:r>
    </w:p>
    <w:p>
      <w:pPr>
        <w:rPr>
          <w:lang w:val="ru-RU"/>
        </w:rPr>
      </w:pPr>
      <w:r>
        <w:rPr>
          <w:lang w:val="ru-RU"/>
        </w:rPr>
        <w:t>Температура вспышки в открытом тигле</w:t>
        <w:tab/>
        <w:t>°C</w:t>
        <w:tab/>
        <w:t>ASTM D 92</w:t>
        <w:tab/>
        <w:t>225</w:t>
      </w:r>
    </w:p>
    <w:p>
      <w:pPr>
        <w:rPr>
          <w:lang w:val="ru-RU"/>
        </w:rPr>
      </w:pPr>
      <w:r>
        <w:rPr>
          <w:lang w:val="ru-RU"/>
        </w:rPr>
        <w:t>Температура застывания</w:t>
        <w:tab/>
        <w:t>°C</w:t>
        <w:tab/>
        <w:t>ASTM D 97</w:t>
        <w:tab/>
        <w:t>-42</w:t>
      </w:r>
    </w:p>
    <w:p>
      <w:pPr>
        <w:rPr>
          <w:lang w:val="ru-RU"/>
        </w:rPr>
      </w:pPr>
      <w:r>
        <w:rPr>
          <w:lang w:val="ru-RU"/>
        </w:rPr>
        <w:t>Общее щелочное число</w:t>
        <w:tab/>
        <w:t>мг KOH/г</w:t>
        <w:tab/>
        <w:t>ASTM D 2896</w:t>
        <w:tab/>
        <w:t>10</w:t>
      </w:r>
    </w:p>
    <w:p>
      <w:pPr>
        <w:rPr>
          <w:lang w:val="ru-RU"/>
        </w:rPr>
      </w:pPr>
      <w:r>
        <w:rPr>
          <w:lang w:val="ru-RU"/>
        </w:rPr>
        <w:t>Зольность сульфатная</w:t>
        <w:tab/>
        <w:t>в % по весу</w:t>
        <w:tab/>
        <w:t>ASTM D 874</w:t>
        <w:tab/>
        <w:t>1,3</w:t>
      </w:r>
    </w:p>
    <w:p>
      <w:pPr>
        <w:rPr>
          <w:lang w:val="ru-RU"/>
        </w:rPr>
      </w:pPr>
      <w:r>
        <w:rPr>
          <w:lang w:val="ru-RU"/>
        </w:rPr>
        <w:t>Оценка стабильности масла сиспользованием насос-форсунки Bosch:</w:t>
      </w:r>
    </w:p>
    <w:p>
      <w:r>
        <w:rPr>
          <w:lang w:val="ru-RU"/>
        </w:rPr>
        <w:t>Вязкость после теста на износ при 100°C, 90 циклов</w:t>
        <w:tab/>
        <w:t>сСт</w:t>
        <w:tab/>
        <w:t>CEC-L-14-93</w:t>
        <w:tab/>
        <w:t>12,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Волохатых</dc:creator>
  <cp:lastModifiedBy>Артур Волохатых</cp:lastModifiedBy>
</cp:coreProperties>
</file>