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66" w:rsidRPr="001E7966" w:rsidRDefault="001E7966" w:rsidP="001E7966">
      <w:pPr>
        <w:shd w:val="clear" w:color="auto" w:fill="F7F9FA"/>
        <w:spacing w:before="480" w:after="360" w:line="435" w:lineRule="atLeast"/>
        <w:outlineLvl w:val="0"/>
        <w:rPr>
          <w:rFonts w:ascii="Arial" w:eastAsia="Times New Roman" w:hAnsi="Arial" w:cs="Arial"/>
          <w:color w:val="4E4E4E"/>
          <w:kern w:val="36"/>
          <w:sz w:val="38"/>
          <w:szCs w:val="38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kern w:val="36"/>
          <w:sz w:val="38"/>
          <w:szCs w:val="38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4E4E4E"/>
          <w:kern w:val="36"/>
          <w:sz w:val="38"/>
          <w:szCs w:val="38"/>
          <w:lang w:eastAsia="ru-RU"/>
        </w:rPr>
        <w:t> - симптомы и лечение</w:t>
      </w:r>
    </w:p>
    <w:p w:rsidR="001E7966" w:rsidRPr="001E7966" w:rsidRDefault="001E7966" w:rsidP="001E7966">
      <w:pPr>
        <w:shd w:val="clear" w:color="auto" w:fill="F7F9FA"/>
        <w:spacing w:before="100" w:beforeAutospacing="1" w:after="100" w:afterAutospacing="1" w:line="312" w:lineRule="atLeast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5A5C61"/>
          <w:sz w:val="24"/>
          <w:szCs w:val="24"/>
          <w:lang w:eastAsia="ru-RU"/>
        </w:rPr>
        <w:t xml:space="preserve">Что такое </w:t>
      </w:r>
      <w:proofErr w:type="spellStart"/>
      <w:r w:rsidRPr="001E7966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? Причины возникновения, диагностику и методы лечения разберем в статье доктора Федотова Ильи Андреевича, психотерапевта со стажем в 14 лет.</w:t>
      </w:r>
    </w:p>
    <w:p w:rsidR="001E7966" w:rsidRPr="001E7966" w:rsidRDefault="001E7966" w:rsidP="001E7966">
      <w:pPr>
        <w:shd w:val="clear" w:color="auto" w:fill="FFFFFF"/>
        <w:spacing w:line="273" w:lineRule="atLeast"/>
        <w:rPr>
          <w:rFonts w:ascii="Arial" w:eastAsia="Times New Roman" w:hAnsi="Arial" w:cs="Arial"/>
          <w:color w:val="5A5C61"/>
          <w:sz w:val="21"/>
          <w:szCs w:val="21"/>
          <w:lang w:eastAsia="ru-RU"/>
        </w:rPr>
      </w:pPr>
      <w:r w:rsidRPr="001E796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Над статьей доктора </w:t>
      </w:r>
      <w:r w:rsidRPr="001E7966">
        <w:rPr>
          <w:rFonts w:ascii="Arial" w:eastAsia="Times New Roman" w:hAnsi="Arial" w:cs="Arial"/>
          <w:color w:val="181D21"/>
          <w:sz w:val="21"/>
          <w:szCs w:val="21"/>
          <w:lang w:eastAsia="ru-RU"/>
        </w:rPr>
        <w:t>Федотова Ильи Андреевича </w:t>
      </w:r>
      <w:r w:rsidRPr="001E796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работали литературный редактор </w:t>
      </w:r>
      <w:hyperlink r:id="rId5" w:anchor="Margarita-Tihonova" w:history="1">
        <w:r w:rsidRPr="001E7966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Маргарита Тихонова</w:t>
        </w:r>
      </w:hyperlink>
      <w:r w:rsidRPr="001E796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, научный редактор </w:t>
      </w:r>
      <w:hyperlink r:id="rId6" w:anchor="Sergyay-Fedosov" w:history="1">
        <w:r w:rsidRPr="001E7966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Сергей Федосов</w:t>
        </w:r>
      </w:hyperlink>
      <w:r w:rsidRPr="001E796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 и шеф-редактор </w:t>
      </w:r>
      <w:hyperlink r:id="rId7" w:anchor="Lada-Rodchanina" w:history="1">
        <w:r w:rsidRPr="001E7966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 xml:space="preserve">Лада </w:t>
        </w:r>
        <w:proofErr w:type="spellStart"/>
        <w:r w:rsidRPr="001E7966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Родчанина</w:t>
        </w:r>
        <w:proofErr w:type="spellEnd"/>
      </w:hyperlink>
    </w:p>
    <w:p w:rsidR="001E7966" w:rsidRPr="001E7966" w:rsidRDefault="001E7966" w:rsidP="001E7966">
      <w:pPr>
        <w:shd w:val="clear" w:color="auto" w:fill="F7F9FA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66"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drawing>
          <wp:inline distT="0" distB="0" distL="0" distR="0">
            <wp:extent cx="1428750" cy="1428750"/>
            <wp:effectExtent l="0" t="0" r="0" b="0"/>
            <wp:docPr id="7" name="Рисунок 7" descr="Федотов Илья Андреевич, психотерапевт, психиатр - Рязань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тов Илья Андреевич, психотерапевт, психиатр - Рязань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66" w:rsidRPr="001E7966" w:rsidRDefault="001E7966" w:rsidP="001E7966">
      <w:pPr>
        <w:shd w:val="clear" w:color="auto" w:fill="F7F9FA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tgtFrame="_blank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lang w:eastAsia="ru-RU"/>
          </w:rPr>
          <w:t>Федотов</w:t>
        </w:r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 Илья Андреевич</w:t>
        </w:r>
      </w:hyperlink>
    </w:p>
    <w:p w:rsidR="001E7966" w:rsidRPr="001E7966" w:rsidRDefault="001E7966" w:rsidP="001E7966">
      <w:pPr>
        <w:shd w:val="clear" w:color="auto" w:fill="F7F9FA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tgtFrame="_blank" w:history="1">
        <w:r w:rsidRPr="001E7966">
          <w:rPr>
            <w:rFonts w:ascii="Arial" w:eastAsia="Times New Roman" w:hAnsi="Arial" w:cs="Arial"/>
            <w:color w:val="0070C0"/>
            <w:sz w:val="21"/>
            <w:szCs w:val="21"/>
            <w:u w:val="single"/>
            <w:lang w:eastAsia="ru-RU"/>
          </w:rPr>
          <w:t>Об авторе</w:t>
        </w:r>
      </w:hyperlink>
    </w:p>
    <w:p w:rsidR="001E7966" w:rsidRPr="001E7966" w:rsidRDefault="001E7966" w:rsidP="001E7966">
      <w:pPr>
        <w:shd w:val="clear" w:color="auto" w:fill="F7F9FA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Психотерапевт </w:t>
      </w:r>
      <w:proofErr w:type="spellStart"/>
      <w:r w:rsidRPr="001E79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Cтаж</w:t>
      </w:r>
      <w:proofErr w:type="spellEnd"/>
      <w:r w:rsidRPr="001E79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14 лет Кандидат наук</w:t>
      </w:r>
    </w:p>
    <w:p w:rsidR="001E7966" w:rsidRPr="001E7966" w:rsidRDefault="001E7966" w:rsidP="001E7966">
      <w:pPr>
        <w:shd w:val="clear" w:color="auto" w:fill="F7F9FA"/>
        <w:spacing w:after="0" w:line="270" w:lineRule="atLeast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1E796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«Центр психического здоровья»</w:t>
      </w:r>
    </w:p>
    <w:p w:rsidR="001E7966" w:rsidRPr="001E7966" w:rsidRDefault="001E7966" w:rsidP="001E7966">
      <w:pPr>
        <w:shd w:val="clear" w:color="auto" w:fill="FFFFFF"/>
        <w:spacing w:line="270" w:lineRule="atLeast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1E796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Дата публикации </w:t>
      </w:r>
      <w:r w:rsidRPr="001E796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11 марта 2020</w:t>
      </w:r>
      <w:r w:rsidRPr="001E796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Обновлено </w:t>
      </w:r>
      <w:r w:rsidRPr="001E796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26 апреля 2021</w:t>
      </w:r>
    </w:p>
    <w:p w:rsidR="001E7966" w:rsidRPr="001E7966" w:rsidRDefault="001E7966" w:rsidP="001E796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Определение болезни. Причины заболевания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(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лудомания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) — это одна из форм нехимической, т. е. поведенческой зависимости, связанная с участием в азартных играх. К таким играм относятся: рулетка, лотерея, покер, игровые автоматы, различные ставки и любые другие игры на деньги. Во время этих "развлечений" человек рискует материальными ценностями ради призрачного выигрыша, который зависит от случайности </w:t>
      </w:r>
      <w:hyperlink r:id="rId12" w:anchor="16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[16]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6" name="Рисунок 6" descr="Зависимость от азарт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висимость от азартных иг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Изначально взгляд на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игроманию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был исключительно с моральных позиций, поэтому людей, страдающих от этой проблемы, считали морально слабыми, ленивыми и т. п. В середине XX века к пониманию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добавили психологические и психоаналитические трактовки, а в конце XX века — нейробиологические. Благодаря окончательному выделению точных физиологических механизмов зависимости от азартных игр удалось доказать болезненный характер изменений в поведении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игроманов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и отнести данное состояние к спектру психических и поведенческих расстройств.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Значимость проблемы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 первую очередь определяется числом людей, вовлечённых в различные формы игровой активности. По данным за период с 1975 по 1999 годы, число жителей США, вовлечённых в игру на ставках, возросло с 68 % до 86 %, при этом доля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игроманов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также возросла с 0,3 % до 0,74 % </w:t>
      </w:r>
      <w:hyperlink r:id="rId14" w:anchor="5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[5]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Доходы игрового бизнеса в США в некоторые годы даже опережали доходы киноиндустрии. Вместе с тем,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несёт целый спектр проблем: разрушение семьи, потерю работы, опасное кредитование (заём денег под большие проценты). Порой она подталкивает людей к суициду на почве больших долгов и других причин. Все эти факторы привели к тому, что большинство стран, в том числе и Россия, пришли к необходимости жёсткого законодательного регулирования игровых клубов и казино, выделения для них специальных игровых зон. К сожалению, эти меры не позволили полностью справиться с проблемой, т. к. многие игровые площадки переместились в интернет, где их контролировать сложнее.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 xml:space="preserve">Как и другие психические расстройства,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является многофакторным заболеванием. Во-первых, риск её возникновения связан с социально-демографическими факторами. У мужчин она наблюдается в два раза чаще, чем у женщин. Но у женщин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прогрессирует быстрее: у мужчин, в среднем, проходит 4,6 лет от начала игрового поведения до формирования зависимости, а у женщин — 1 год </w:t>
      </w:r>
      <w:hyperlink r:id="rId15" w:anchor="15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[15]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 Также риску возникновения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чаще подвержены мигранты. Вероятно, это связано с денежными затруднениями и желанием лёгкой прибыли. В США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чаще развивается у людей среднего и пожилого возраста </w:t>
      </w:r>
      <w:hyperlink r:id="rId16" w:anchor="3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[3]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, в то время как в России на приём к врачу с проблемами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чаще приходят молодые люди до 40 лет. Возможно, это связано с тем, что в нашей стране азартные игры в широком масштабе появились относительно недавно и мы видим только первое поколение зависимых, которые ещё не успели повзрослеть.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Во-вторых, роль в развитии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играют биопсихологические факторы, такие как наследственная склонность к зависимости, отсутствие надёжной привязанности к кому-то или чему-то и др.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Выделяют четыре основных фактора, влияющих на возникновение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Все они связаны с личностными чертами:</w:t>
      </w:r>
    </w:p>
    <w:p w:rsidR="001E7966" w:rsidRPr="001E7966" w:rsidRDefault="001E7966" w:rsidP="001E7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длительный разрушительный стресс, провоцирующий искать "успокоение", "отвлечение" в игре — взаимосвязан с женским полом, повышенным суицидальным риском, наличием различных психических расстройств в семье;</w:t>
      </w:r>
    </w:p>
    <w:p w:rsidR="001E7966" w:rsidRPr="001E7966" w:rsidRDefault="001E7966" w:rsidP="001E7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повышенная потребность в острых ощущениях — связана с наличием в семье людей с </w:t>
      </w:r>
      <w:hyperlink r:id="rId17" w:tgtFrame="_blank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алкогольной зависимостью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;</w:t>
      </w:r>
    </w:p>
    <w:p w:rsidR="001E7966" w:rsidRPr="001E7966" w:rsidRDefault="001E7966" w:rsidP="001E7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криминальность и склонность к одиночеству — связаны с криминальной историей жизни (аресты, противоправные действия).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Импульсивность и автоматизмы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социопатии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— связаны с ранним началом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плохой трудовой адаптацией, разводами, импульсивными (необдуманными) правонарушениями </w:t>
      </w:r>
      <w:hyperlink r:id="rId18" w:anchor="14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[14]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 у детей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Плохие отношения с родителями и сверстниками, отсутствие родительского контроля и отрицательные образы для подражания повышают риск развития игровой зависимости. Невежественные, деспотические и враждебные родители, семьи с одним родителем, неудовлетворительная домашняя обстановка подталкивают ребёнка к увлечению азартными играми.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Ребёнок подвергается большему риску увлечения азартными играми, если он:</w:t>
      </w:r>
    </w:p>
    <w:p w:rsidR="001E7966" w:rsidRPr="001E7966" w:rsidRDefault="001E7966" w:rsidP="001E7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имеет возбудимый, импульсивный, зависимый (слабовольный) или ищущий ярких ощущений характер;</w:t>
      </w:r>
    </w:p>
    <w:p w:rsidR="001E7966" w:rsidRPr="001E7966" w:rsidRDefault="001E7966" w:rsidP="001E7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испытывает стресс, депрессию или беспокойство;</w:t>
      </w:r>
    </w:p>
    <w:p w:rsidR="001E7966" w:rsidRPr="001E7966" w:rsidRDefault="001E7966" w:rsidP="001E7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стремится игнорировать проблемы или отвлекаться от них вместо того, чтобы заниматься ими;</w:t>
      </w:r>
    </w:p>
    <w:p w:rsidR="001E7966" w:rsidRPr="001E7966" w:rsidRDefault="001E7966" w:rsidP="001E7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переживает семейный конфликт.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Иногда бывает сложно определить, что у детей есть проблемы с азартными играми, потому что они не всегда сталкиваются с финансовыми трудностями, которые испытывают взрослые азартные игроки.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Признаки игровой зависимости у ребёнка:</w:t>
      </w:r>
    </w:p>
    <w:p w:rsidR="001E7966" w:rsidRPr="001E7966" w:rsidRDefault="001E7966" w:rsidP="001E7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внезапные изменения в сумме денег, которые есть у ребёнка: у него не хватает денег, он занимает или берёт деньги у семьи и друзей;</w:t>
      </w:r>
    </w:p>
    <w:p w:rsidR="001E7966" w:rsidRPr="001E7966" w:rsidRDefault="001E7966" w:rsidP="001E7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изменения в режиме сна, усталость, низкий уровень энергии, изменения настроения или раздражительность вдали от азартных игр;</w:t>
      </w:r>
    </w:p>
    <w:p w:rsidR="001E7966" w:rsidRPr="001E7966" w:rsidRDefault="001E7966" w:rsidP="001E7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падающие отметки в школе;</w:t>
      </w:r>
    </w:p>
    <w:p w:rsidR="001E7966" w:rsidRPr="001E7966" w:rsidRDefault="001E7966" w:rsidP="001E7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избегание друзей и общественных мероприятий;</w:t>
      </w:r>
    </w:p>
    <w:p w:rsidR="001E7966" w:rsidRPr="001E7966" w:rsidRDefault="001E7966" w:rsidP="001E7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позитивное отношение к азартным играм, нарастающее увлечение сайтами азартных игр в Интернете, результатами спортивных событий или ТВ-покером;</w:t>
      </w:r>
    </w:p>
    <w:p w:rsidR="001E7966" w:rsidRPr="001E7966" w:rsidRDefault="001E7966" w:rsidP="001E7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акцент на спортивные ставки, а не на сам спорт;</w:t>
      </w:r>
    </w:p>
    <w:p w:rsidR="001E7966" w:rsidRPr="001E7966" w:rsidRDefault="001E7966" w:rsidP="001E7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сокрытие увлечения азартными играми или отрицание проблемы.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Если возникла проблема, ребёнок может сказать, что азартные игры лучше, чем другие вещи, которыми он мог бы заниматься, </w:t>
      </w:r>
      <w:proofErr w:type="gram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например</w:t>
      </w:r>
      <w:proofErr w:type="gram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: "Зато я не принимаю наркотики, мама".</w:t>
      </w:r>
    </w:p>
    <w:p w:rsidR="001E7966" w:rsidRPr="001E7966" w:rsidRDefault="001E7966" w:rsidP="001E7966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AE741C"/>
          <w:sz w:val="21"/>
          <w:szCs w:val="21"/>
          <w:lang w:eastAsia="ru-RU"/>
        </w:rPr>
      </w:pPr>
      <w:r w:rsidRPr="001E7966">
        <w:rPr>
          <w:rFonts w:ascii="Arial" w:eastAsia="Times New Roman" w:hAnsi="Arial" w:cs="Arial"/>
          <w:noProof/>
          <w:color w:val="AE741C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war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D07DF6" id="Прямоугольник 5" o:spid="_x0000_s1026" alt="war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LCQ67kAgAA2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1E7966" w:rsidRPr="001E7966" w:rsidRDefault="001E7966" w:rsidP="001E7966">
      <w:pPr>
        <w:shd w:val="clear" w:color="auto" w:fill="FFFFFF"/>
        <w:spacing w:line="273" w:lineRule="atLeast"/>
        <w:rPr>
          <w:rFonts w:ascii="Arial" w:eastAsia="Times New Roman" w:hAnsi="Arial" w:cs="Arial"/>
          <w:color w:val="AE741C"/>
          <w:sz w:val="21"/>
          <w:szCs w:val="21"/>
          <w:lang w:eastAsia="ru-RU"/>
        </w:rPr>
      </w:pPr>
      <w:r w:rsidRPr="001E7966">
        <w:rPr>
          <w:rFonts w:ascii="Arial" w:eastAsia="Times New Roman" w:hAnsi="Arial" w:cs="Arial"/>
          <w:color w:val="AE741C"/>
          <w:sz w:val="21"/>
          <w:szCs w:val="21"/>
          <w:lang w:eastAsia="ru-RU"/>
        </w:rPr>
        <w:t>При обнаружении схожих симптомов проконсультируйтесь у врача. Не занимайтесь самолечением - это опасно для вашего здоровья!</w:t>
      </w:r>
    </w:p>
    <w:p w:rsidR="001E7966" w:rsidRPr="001E7966" w:rsidRDefault="001E7966" w:rsidP="001E796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 xml:space="preserve">Симптомы </w:t>
      </w:r>
      <w:proofErr w:type="spellStart"/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игромании</w:t>
      </w:r>
      <w:proofErr w:type="spellEnd"/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Основным симптомом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является особое игровое поведение. Под ним понимают риск чем-то значимым, ценным при ставке на исход события, когда вероятность проиграть или выиграть зависит от шанса </w:t>
      </w:r>
      <w:hyperlink r:id="rId19" w:anchor="8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[8]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4876800" cy="3333750"/>
            <wp:effectExtent l="0" t="0" r="0" b="0"/>
            <wp:docPr id="4" name="Рисунок 4" descr="Игровое п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овое поведен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Существуют различные формы игровой зависимости, при котором используются ставки на различные события, и как и при химических зависимостях — </w:t>
      </w:r>
      <w:hyperlink r:id="rId21" w:tgtFrame="_blank" w:history="1"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наркомании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 — каждый вид ставок имеет свой оттенок в проявлении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 зависимости от сопутствующих психопатологических нарушений выделяют пять основных подтипов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игроманов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которые часто сочетаются между собой:</w:t>
      </w:r>
    </w:p>
    <w:p w:rsidR="001E7966" w:rsidRPr="001E7966" w:rsidRDefault="001E7966" w:rsidP="001E7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Невротический подтип (34 %) — игра для них выступает как способ решения эмоциональных проблем, одиночества, тревоги. При этом помимо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они могут страдать от психозов и </w:t>
      </w:r>
      <w:hyperlink r:id="rId22" w:tgtFrame="_blank" w:history="1"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неврозов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Психопатический подтип (24 %) —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сочетается с антисоциальными личностными автоматизмами (</w:t>
      </w:r>
      <w:proofErr w:type="gram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например</w:t>
      </w:r>
      <w:proofErr w:type="gram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агрессией) и появляется как склонность к обману ради доступа к лёгким деньгам, а значит и удовольствиям.</w:t>
      </w:r>
    </w:p>
    <w:p w:rsidR="001E7966" w:rsidRPr="001E7966" w:rsidRDefault="001E7966" w:rsidP="001E7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Импульсивный подтип (18 %) — для этих людей характерно снижение способности к самоконтролю, потому, попадая в игровую ситуацию, они безудержно делают ставки.</w:t>
      </w:r>
    </w:p>
    <w:p w:rsidR="001E7966" w:rsidRPr="001E7966" w:rsidRDefault="001E7966" w:rsidP="001E7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Субкультуральный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подтип (14 %) — изначально люди начинают играть, чтобы повысить свой статус в своём окружении, показаться более рисковым, сильным, смелым, а затем становятся зависимыми и не могу преодолеть тягу к азартным играм.</w:t>
      </w:r>
    </w:p>
    <w:p w:rsidR="001E7966" w:rsidRPr="001E7966" w:rsidRDefault="001E7966" w:rsidP="001E7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Симптоматический подтип (10 %) —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начинается как вторичный симптом на фоне выраженного психического расстройства (</w:t>
      </w:r>
      <w:hyperlink r:id="rId23" w:tgtFrame="_blank" w:history="1"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депрессии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24" w:tgtFrame="_blank" w:history="1"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шизофрении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и т. д.) </w:t>
      </w:r>
      <w:hyperlink r:id="rId25" w:anchor="9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[9]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Следует отличать игровую зависимость от простого развлечения. В последнем случае человек воспринимает игру только как способ весело провести время. Хотя он надеется выиграть, но не рассчитывает на это. Игра не увлекает его </w:t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настолько сильно, чтобы заставить играющего регулярно влезать в долги и ввязываться в неприятности </w:t>
      </w:r>
      <w:hyperlink r:id="rId26" w:anchor="16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[16]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На развитие у человека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могут указывать следующие признаки:</w:t>
      </w:r>
    </w:p>
    <w:p w:rsidR="001E7966" w:rsidRPr="001E7966" w:rsidRDefault="001E7966" w:rsidP="001E79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Финансовые проблемы: теряется контроль над средствами и временем, которые уходят на патологическое увлечение, бесследно исчезают деньги, ценные вещи, появляются всё новые и новые кредиты, долги;</w:t>
      </w:r>
    </w:p>
    <w:p w:rsidR="001E7966" w:rsidRPr="001E7966" w:rsidRDefault="001E7966" w:rsidP="001E79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Проблемы эмоциональной сферы: часто меняется настроение, внезапно возникают вспышки гнева, иногда беспокоят депрессивные, суицидальные мысли.</w:t>
      </w:r>
    </w:p>
    <w:p w:rsidR="001E7966" w:rsidRPr="001E7966" w:rsidRDefault="001E7966" w:rsidP="001E79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Изменения в поведении: нежелание следить за своим внешним видом, зацикленность на собственных мыслях, отрешённость от родных, знакомых, появление новых друзей, увлекающихся азартными играми, попытки добыть деньги любыми способами, нежелание тратить средства на что-то, кроме игры </w:t>
      </w:r>
      <w:hyperlink r:id="rId27" w:anchor="16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[16]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Часто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сочетается с другими зависимостями: алкогольной и наркотической. Многие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игроманы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делают ставки, особенно крупные, находясь в состоянии опьянения. Алкоголь повышает импульсивность человека, делает его более решительным, а порою — даже безрассудным. Не зря говорят, что "пьяному море по колено".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Как отличить </w:t>
      </w:r>
      <w:proofErr w:type="spellStart"/>
      <w:r w:rsidRPr="001E796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игроманию</w:t>
      </w:r>
      <w:proofErr w:type="spellEnd"/>
      <w:r w:rsidRPr="001E796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 от увлечения играми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Чтобы отличить психическое расстройство "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" от увлечения играми следует использовать диагностические критерии DSM-5, разработанные Американской психиатрической ассоциацией.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определяется как стойкое и повторяющееся проблемное поведение в отношении азартных игр, приводящее к клинически значимым нарушениям или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дистрессу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Проявляется следующими четырьмя или более критериями на протяжении 12 месяцев:</w:t>
      </w:r>
    </w:p>
    <w:p w:rsidR="001E7966" w:rsidRPr="001E7966" w:rsidRDefault="001E7966" w:rsidP="001E7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У человека возникает необходимость играть в азартные игры, увеличивая сумму ставок, чтобы достичь желаемого волнения и удовольствия. Этот критерий отражает динамику формирования зависимости. Постепенно привычные стимулы утрачивают свою значимость для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игромана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и чтобы вновь испытать те же ощущения, ему приходится идти на больший риск, повышать сумму ставки. Этот процесс отражает повышение толерантности к азартным играм. Здоровый человек не испытывает подобной необходимости и использует игры как временную альтернативу другим развлечениям.</w:t>
      </w:r>
    </w:p>
    <w:p w:rsidR="001E7966" w:rsidRPr="001E7966" w:rsidRDefault="001E7966" w:rsidP="001E7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Человек становится беспокойным или раздражительным, когда пытается сократить или прекратить играть в азартные игры.</w:t>
      </w:r>
    </w:p>
    <w:p w:rsidR="001E7966" w:rsidRPr="001E7966" w:rsidRDefault="001E7966" w:rsidP="001E7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Зависимый уже неоднократно и безуспешно пытался контролировать, сокращать или прекращать увлечение азартными играми. Критерий отражает стойкость проблемы и неспособность справиться с ней самостоятельно. Здоровый человек сам в состоянии контролировать </w:t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поведение в отношении азартных игр и может с лёгкостью от них отказаться.</w:t>
      </w:r>
    </w:p>
    <w:p w:rsidR="001E7966" w:rsidRPr="001E7966" w:rsidRDefault="001E7966" w:rsidP="001E7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Обычно он всецело поглощён игрой. Например, постоянно думает о прошлых азартных играх или планирует следующие, ища способы получить деньги, которые можно снова потратить на игру. Игры занимают центральное положение в жизни зависимого и постепенно вытесняют остальные виды деятельности. Жизнь становится подчинена желанию вернуться к игре.</w:t>
      </w:r>
    </w:p>
    <w:p w:rsidR="001E7966" w:rsidRPr="001E7966" w:rsidRDefault="001E7966" w:rsidP="001E7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Человек часто играет в азартные игры, когда чувствует себя беспомощным, виноватым, тревожным, подавленным. Азартные игры служат не только для получения удовольствия, но и способом избавиться от отрицательных эмоций. У зависимого человека снижена способность справляться с фрустрацией, переживать негативные события, поэтому он вынужден прибегать к лёгкому способу получить положительные впечатления.</w:t>
      </w:r>
    </w:p>
    <w:p w:rsidR="001E7966" w:rsidRPr="001E7966" w:rsidRDefault="001E7966" w:rsidP="001E7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Проиграв деньги в азартные игры, он обычно возвращается на следующий день, чтобы поквитаться ("погоня" за своими потерями).</w:t>
      </w:r>
    </w:p>
    <w:p w:rsidR="001E7966" w:rsidRPr="001E7966" w:rsidRDefault="001E7966" w:rsidP="001E7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начинает лгать, чтобы скрыть степень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вовлечённости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 азартные игры.</w:t>
      </w:r>
    </w:p>
    <w:p w:rsidR="001E7966" w:rsidRPr="001E7966" w:rsidRDefault="001E7966" w:rsidP="001E7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Он ставит под угрозу значимые отношения, работу, обучение, возможность карьерного роста из-за азартных игр. В крайних случаях человек теряет всё это. Это один из ключевых критериев, разделяющих нормальное увлечение и патологию. Здоровый человек в состоянии в любой момент оставить своё увлечение, ставящее под угрозу успех в других сферах жизни, в отличие от зависимого.</w:t>
      </w:r>
    </w:p>
    <w:p w:rsidR="001E7966" w:rsidRPr="001E7966" w:rsidRDefault="001E7966" w:rsidP="001E7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полагается на других, чтобы получить деньги для решения финансовых проблем, вызванных азартными играми.</w:t>
      </w:r>
    </w:p>
    <w:p w:rsidR="001E7966" w:rsidRPr="001E7966" w:rsidRDefault="001E7966" w:rsidP="001E796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 xml:space="preserve">Патогенез </w:t>
      </w:r>
      <w:proofErr w:type="spellStart"/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игромании</w:t>
      </w:r>
      <w:proofErr w:type="spellEnd"/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Долгое время велась дискуссия, к какому виду психических расстройств необходимо относить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игроманию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Одна группа учёных причисляла её к группе </w:t>
      </w:r>
      <w:hyperlink r:id="rId28" w:tgtFrame="_blank" w:history="1"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расстройств импульсного контроля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таких как клептомания и пиромания. При этом в основе развития игровой зависимости должно было лежать нарушение произвольного внимания и недостаточность тормозных исполнительских функций.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Вторая группа относила это расстройство к зависимостям (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аддикциям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), причём выделяла его в новый кластер нехимических (поведенческих)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аддикций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Были выявлены схожие с наркоманиями изменения в генах DRD2, MAOA и др. Также идентичными были эпидемиологические данные и факторы риска.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Третья группа учёных считала, что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относится к группе </w:t>
      </w:r>
      <w:hyperlink r:id="rId29" w:tgtFrame="_blank" w:history="1"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обсессивно-</w:t>
        </w:r>
        <w:proofErr w:type="spellStart"/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компульсивных</w:t>
        </w:r>
        <w:proofErr w:type="spellEnd"/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 xml:space="preserve"> расстройств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, поэтому влечение к игре следует рассматривать как навязчивое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обсессивное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или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компульсивное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влечение.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 xml:space="preserve">Последняя возможная гипотеза предполагает, что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— это расстройство настроения, т. к. часто у больных наблюдаются сильные аффекты, провоцирующие и модифицирующие течение заболевания.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 итоге победила позиция второй группы 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была включена в перечень нехимических зависимостей, т. к. именно для этой теории было накоплено наибольшее количество доказательств, нейробиологических исследований. К тому же подходы к лечению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аддикций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(12-шаговые программы, терапия предупреждения рецидивов) лучше всего подошли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игроманам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  <w:hyperlink r:id="rId30" w:anchor="10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[10]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 xml:space="preserve">Классификация и стадии развития </w:t>
      </w:r>
      <w:proofErr w:type="spellStart"/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игромании</w:t>
      </w:r>
      <w:proofErr w:type="spellEnd"/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Выделяют два типа течения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:</w:t>
      </w:r>
    </w:p>
    <w:p w:rsidR="001E7966" w:rsidRPr="001E7966" w:rsidRDefault="001E7966" w:rsidP="001E79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эпизодическое — симптомы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появляются на определённый период времени, но ослабевают или вовсе исчезают после эпизода активной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;</w:t>
      </w:r>
    </w:p>
    <w:p w:rsidR="001E7966" w:rsidRPr="001E7966" w:rsidRDefault="001E7966" w:rsidP="001E79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персистирующее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— симптомы наблюдаются непрерывно в течение длительного времени.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Также сейчас отдельно рассматривают такие виды игровых зависимостей, как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игроманию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, реализуемую в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оффлайн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-казино и игровых клубах, и онлайн-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игроманию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 Все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оффлайн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-казино в большинстве стран разрешены только на отдельных выделенных территориях — игровых зонах. Интернет-казино контролировать намного сложнее. Не следует путать зависимость от азартных игр в интернет-казино и тотализаторах и зависимость от компьютерных игр, это разные состояния и подходы к их терапии отличаются.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Существуют несколько стадий развития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:</w:t>
      </w:r>
    </w:p>
    <w:p w:rsidR="001E7966" w:rsidRPr="001E7966" w:rsidRDefault="001E7966" w:rsidP="001E79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Уровень 0 — человек не играет в азартные игры.</w:t>
      </w:r>
    </w:p>
    <w:p w:rsidR="001E7966" w:rsidRPr="001E7966" w:rsidRDefault="001E7966" w:rsidP="001E79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Уровень 1 — человек играет в азартные игры только в развлекательных целях. Это занятие не приводит к серьёзным проблемам.</w:t>
      </w:r>
    </w:p>
    <w:p w:rsidR="001E7966" w:rsidRPr="001E7966" w:rsidRDefault="001E7966" w:rsidP="001E79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Уровень 2 — игра сопровождается выраженными негативными последствиями в различных областях жизни: возникают проблемы в семейной и профессиональной сфере, с физическим здоровьем и безопасностью. Диагностические критерии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не выполняются (критерии указаны </w:t>
      </w:r>
      <w:hyperlink r:id="rId31" w:anchor="diagnostika-0" w:tgtFrame="_blank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ниже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).</w:t>
      </w:r>
    </w:p>
    <w:p w:rsidR="001E7966" w:rsidRPr="001E7966" w:rsidRDefault="001E7966" w:rsidP="001E79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Уровень 3 — игра сопровождается выраженными негативными последствиями в различных областях жизни, наблюдаются диагностические критерии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Уровень 4 — тяжёлая форма зависимости. Помимо наличия всех критериев зависимости, наблюдаются негативные последствия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Также долгое время присутствует разрушительный стресс, который заставляет человека искать помощи </w:t>
      </w:r>
      <w:hyperlink r:id="rId32" w:anchor="11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[11]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 xml:space="preserve">В развитии уже сформировавшейся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классически выделяют несколько фаз: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1. Фаза выигрыша — она появляется при раннем успехе и сопровождается приятным ощущением повышения социального статуса, силы и могущества. Всё это закрепляет произошедшие события в памяти и приводит к началу погружения человека в теорию игрового процесса, изучению выигрышных стратегий. Игра постепенно и незаметно вытесняет все остальные интересы и способы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совладания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со стрессом. Всё свободное время человек проводит в игре. Свой успех он связывает со своими незаурядными способностями, ставит его в основу своей самооценки </w:t>
      </w:r>
      <w:hyperlink r:id="rId33" w:anchor="4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[4]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2. Неожиданная неудача, которая обязательно будет, запускает фазу проигрыша. Человек сначала не верит в это, затем стремится как можно быстрее отыграться, чтобы восполнить потерю и вернуться в окрыляющее чувство успеха. Часто для этого приходится врать родным и на работе, порою даже воровать. Желание отыграться, а значит найти денег на новую игру, становится труднопреодолимым, а порою и совсем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несовладаемым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, т. е.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компульсивным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Эта фаза похожа на погоню за утерянным состоянием благоденствия </w:t>
      </w:r>
      <w:hyperlink r:id="rId34" w:anchor="4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[4]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3. Повторяющаяся смена фаз проигрыша и погони за деньгами, чтобы отыграться, формирует третью фазу — отчаянье. У каждой семьи свои финансовые и моральные резервы, чтобы поддерживать неутолимое желание игрока отыграться, в очередной раз доверяя его обещаниям измениться и снова сталкиваясь с обманом и растратами. Но любым резервам и любому терпению приходит конец, тайное всегда становится явным, 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сталкивается с отвержением в семье, увольнением с работы, личным банкротством и невозможностью реализовать свою мечту отыграться. Это состояние часто сопровождается тяжёлой депрессией, мыслями о самоубийстве, желанием всё бросить и убежать, а также психосоматическими симптомами — нарушением работы пищеварительного тракта, </w:t>
      </w:r>
      <w:hyperlink r:id="rId35" w:tgtFrame="_blank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паническими атаками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и др. </w:t>
      </w:r>
      <w:hyperlink r:id="rId36" w:anchor="4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[4]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3" name="Рисунок 3" descr="Третья фаза игромании — отчая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етья фаза игромании — отчаянь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 некоторых случаях в фазу отчаянья, которую можно считать неким аналогом </w:t>
      </w:r>
      <w:hyperlink r:id="rId38" w:tgtFrame="_blank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фазы абстиненции у зависимых от алкоголя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и наркотиков, люди обращаются за помощью и начинают лечиться. В других случаях, после прохождения игрового цикла наступает некоторая пауза, во время которой человек возвращается к работе, не играет, не тратит деньги. Но такая ремиссия может смениться новым обострением и срывом с вхождением в описанный игровой цикл.</w:t>
      </w:r>
    </w:p>
    <w:p w:rsidR="001E7966" w:rsidRPr="001E7966" w:rsidRDefault="001E7966" w:rsidP="001E796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 xml:space="preserve">Осложнения </w:t>
      </w:r>
      <w:proofErr w:type="spellStart"/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игромании</w:t>
      </w:r>
      <w:proofErr w:type="spellEnd"/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Выделяют следующие основные осложнения игровой зависимости: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1. Нарушение семейных отношений и насилие в семье, в том числе по отношению к детям.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сфокусирован на игровом процессе. У него есть идея, что он открыл "золотую стратегию", которая позволит ему отыграться, вернуть все долги и доказать всем, что он был прав. Попытки близких ограничить или остановить его приводят к гневу и вспышкам агрессии.</w:t>
      </w:r>
    </w:p>
    <w:p w:rsidR="001E7966" w:rsidRPr="001E7966" w:rsidRDefault="001E7966" w:rsidP="001E796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5638800" cy="3778250"/>
            <wp:effectExtent l="0" t="0" r="0" b="0"/>
            <wp:docPr id="2" name="Рисунок 2" descr="Зацикленность на азартных иг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цикленность на азартных играх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2. Психиатрические расстройства. Сюда включают депрессию, </w:t>
      </w:r>
      <w:hyperlink r:id="rId40" w:tgtFrame="_blank" w:history="1"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биполярное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антисоциальное личностное и </w:t>
      </w:r>
      <w:hyperlink r:id="rId41" w:tgtFrame="_blank" w:history="1"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тревожное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расстройства, </w:t>
      </w:r>
      <w:hyperlink r:id="rId42" w:tgtFrame="_blank" w:history="1"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 xml:space="preserve">синдром дефицита внимания с </w:t>
        </w:r>
        <w:proofErr w:type="spellStart"/>
        <w:r w:rsidRPr="001E796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гиперактивностью</w:t>
        </w:r>
        <w:proofErr w:type="spellEnd"/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 и другие. Многие из приведённых нарушений могут возникать не только на фоне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но и раньше неё, тем самым усиливая прогрессирование зависимости от азартных игр. Например, человек в период маниакальных фаз биполярного аффективного расстройства может проявлять склонность к неоправданному риску из-за патологической переоценки своих возможностей и делать огромные ставки, естественно, проигрывая при этом.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3. Суицидальное поведение. Сталкиваясь с проигрышем,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погружается в сильное чувство вины. На него, как снежная лавина, скатывается весь ком накопившихся проблем. Суицид в данном случае часто бывает осложнением переживания данной стадии. В некоторых случаях подавленное состояние ограничено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парасуицидом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т. е. поведением, которое предполагает не реальное самоубийство, а скорее манипулирование другими людьми для достижения своих целей (</w:t>
      </w:r>
      <w:proofErr w:type="gram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например</w:t>
      </w:r>
      <w:proofErr w:type="gram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получения денег для новой игры).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4. Значительные финансовые трудности. Люди берут кредиты, которые превышают их финансовые возможности. Пытаясь погасить предыдущие долги, они берут новые кредиты под большой процент, порою неправильно используют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микрофинансовые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инструменты кредитования и т. д. В конечном счёте, это может приводить к банкротству.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5. Криминальное поведение. Кредитное бремя вместе с негативными эмоциями и внутренней патологической убежденностью, что достаточно достать совсем </w:t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немного денег, чтобы отыграться, могут толкать человека на криминальные поступки: от проституции до воровства и убийства </w:t>
      </w:r>
      <w:hyperlink r:id="rId43" w:anchor="11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[11]</w:t>
        </w:r>
      </w:hyperlink>
      <w:hyperlink r:id="rId44" w:anchor="12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[12]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 xml:space="preserve">Диагностика </w:t>
      </w:r>
      <w:proofErr w:type="spellStart"/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игромании</w:t>
      </w:r>
      <w:proofErr w:type="spellEnd"/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DSM-5, наиболее современная и актуальная диагностическая система, разработанная Американской психиатрической ассоциацией, предлагает следующие критерии для постановки диагноза "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игромания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":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1. Стойкое и повторяющееся проблемное поведение в отношении азартных игр, приводящее к клинически значимым нарушениям или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дистрессу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Проявляется следующими четырьмя или более критериями на протяжении 12 месяцев:</w:t>
      </w:r>
    </w:p>
    <w:p w:rsidR="001E7966" w:rsidRPr="001E7966" w:rsidRDefault="001E7966" w:rsidP="001E7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У человека возникает необходимость играть в азартные игры, увеличивая сумму ставок, чтобы достичь желаемого волнения и удовольствия.</w:t>
      </w:r>
    </w:p>
    <w:p w:rsidR="001E7966" w:rsidRPr="001E7966" w:rsidRDefault="001E7966" w:rsidP="001E7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Он становится беспокойным или раздражительным, когда пытается сократить или прекратить играть в азартные игры.</w:t>
      </w:r>
    </w:p>
    <w:p w:rsidR="001E7966" w:rsidRPr="001E7966" w:rsidRDefault="001E7966" w:rsidP="001E7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Зависимый уже неоднократно и безуспешно пытался контролировать, сокращать или прекращать увлечение азартными играми.</w:t>
      </w:r>
    </w:p>
    <w:p w:rsidR="001E7966" w:rsidRPr="001E7966" w:rsidRDefault="001E7966" w:rsidP="001E7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Обычно он всецело поглощён игрой. Например, постоянно думает о прошлых азартных играх или планирует следующие, ища способы получить деньги, которые можно снова потратить на игру.</w:t>
      </w:r>
    </w:p>
    <w:p w:rsidR="001E7966" w:rsidRPr="001E7966" w:rsidRDefault="001E7966" w:rsidP="001E7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Человек часто играет в азартные игры, когда чувствует себя беспомощным, виноватым, тревожным, подавленным.</w:t>
      </w:r>
    </w:p>
    <w:p w:rsidR="001E7966" w:rsidRPr="001E7966" w:rsidRDefault="001E7966" w:rsidP="001E7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Проиграв деньги в азартные игры, он обычно возвращается на следующий день, чтобы поквитаться ("погоня" за своими потерями).</w:t>
      </w:r>
    </w:p>
    <w:p w:rsidR="001E7966" w:rsidRPr="001E7966" w:rsidRDefault="001E7966" w:rsidP="001E7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начинает лгать, чтобы скрыть степень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вовлечённости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 азартные игры.</w:t>
      </w:r>
    </w:p>
    <w:p w:rsidR="001E7966" w:rsidRPr="001E7966" w:rsidRDefault="001E7966" w:rsidP="001E7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Он ставит под угрозу значимые отношения, работу, обучение, возможность карьерного роста из-за азартных игр. В крайних случаях человек теряет всё это.</w:t>
      </w:r>
    </w:p>
    <w:p w:rsidR="001E7966" w:rsidRPr="001E7966" w:rsidRDefault="001E7966" w:rsidP="001E7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полагается на других, чтобы получить деньги для облегчения тяжёлых финансовых ситуаций, вызванных азартными играми.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2. Поведение в азартных играх нельзя объяснить маниакальным эпизодом (иначе верным диагнозом будет "биполярное аффективное расстройство") </w:t>
      </w:r>
      <w:hyperlink r:id="rId45" w:anchor="1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Перед началом лечения важно определить тип течения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Их всего два:</w:t>
      </w:r>
    </w:p>
    <w:p w:rsidR="001E7966" w:rsidRPr="001E7966" w:rsidRDefault="001E7966" w:rsidP="001E79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Эпизодическое — в определённый период времени у человека наблюдаются перечисленные критерии зависимости от азартных игр, но эти симптомы постепенно ослабевают, между периодами активной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проходит не менее нескольких месяцев.</w:t>
      </w:r>
    </w:p>
    <w:p w:rsidR="001E7966" w:rsidRPr="001E7966" w:rsidRDefault="001E7966" w:rsidP="001E79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Персистирующее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— все перечисленные симптомы непрерывно наблюдаются в течение нескольких лет.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 xml:space="preserve">Уточняющим критерием диагностики является степень тяжести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Она зависит от количества выявленных симптомов:</w:t>
      </w:r>
    </w:p>
    <w:p w:rsidR="001E7966" w:rsidRPr="001E7966" w:rsidRDefault="001E7966" w:rsidP="001E79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Лёгкая — 4-5 критериев.</w:t>
      </w:r>
    </w:p>
    <w:p w:rsidR="001E7966" w:rsidRPr="001E7966" w:rsidRDefault="001E7966" w:rsidP="001E79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Средняя — 6-7 критериев.</w:t>
      </w:r>
    </w:p>
    <w:p w:rsidR="001E7966" w:rsidRPr="001E7966" w:rsidRDefault="001E7966" w:rsidP="001E79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Тяжёлая — 8-9 критериев.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Ориентировочно степень тяжести можно оценить, сравнив суммы долгов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игромана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 Если они превышают его годовой доход, то такую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игроманию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можно считать тяжёлой.</w:t>
      </w:r>
    </w:p>
    <w:p w:rsidR="001E7966" w:rsidRPr="001E7966" w:rsidRDefault="001E7966" w:rsidP="001E796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 xml:space="preserve">Лечение </w:t>
      </w:r>
      <w:proofErr w:type="spellStart"/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игромании</w:t>
      </w:r>
      <w:proofErr w:type="spellEnd"/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Основным методом лечения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остаётся психотерапия. Именно она имеет наибольший уровень эффективности, доказанный в исследованиях.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Мотивационное интервью является наиболее перспективным вариантом лечения игровой зависимости, причём как отдельно, так и вместе с другими методиками. Это вмешательство даёт пациентам возможность самостоятельно выявить и эффективно разрешить свою неопределённость в отношении изменений. Одним из центральных элементов такого подхода является </w:t>
      </w:r>
      <w:r w:rsidRPr="001E7966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t>нормативная обратная связь</w:t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 С помощью этой методики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игроманы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во время общения с психологом анализируют своё проблемное игровое поведение, которое обычно недооценивают, сравнивая его с обычным отношением людей к азартным играм. Это позволяет им осознать свою проблему и изменить своё поведение. Исследования показали, что подобное вмешательство уменьшает частоту азартных игр и тяжесть расстройства. Эти клинические изменения сохраняются в течение длительного периода, а также улучшают семейные, рабочие отношения и качество жизни в целом </w:t>
      </w:r>
      <w:hyperlink r:id="rId46" w:anchor="6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[6]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" name="Рисунок 1" descr="Мотивационное интерв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тивационное интервью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Также было доказано, что 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когнитивно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-поведенческая терапия (КПТ) особенно эффективна для этой поведенческой зависимости. Её программы включают мотивационные компоненты лечения и перестройку мышления для облегчения понимания пациентами когнитивных искажений, связанных с азартным поведением, и ослабления иррациональных убеждений и магического мышления, связанных с этим расстройством (например, что существует специальный алгоритм, который позволит ему выиграть). В отличие от мотивационного интервью КПТ включает в себя более широкий перечень стимулирования позитивных изменений, направленных не только на мотивацию, но и на мышление, эмоциональное реагирование, отслеживание и понимание патологических автоматических мыслей и т. д.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Несмотря на общую эффективность КПТ, всё-таки немногие люди с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обращаются за клинической помощью. Это привело к увеличению числа исследований, посвящённых барьерам, препятствующим лечению. К таким барьерам относится отсутствие знаний о вариантах лечения или страх стигматизации — осуждения в обществе </w:t>
      </w:r>
      <w:hyperlink r:id="rId48" w:anchor="2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[2]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 Также существуют исследования, которые показывают, что способы повышения степени осознанности, </w:t>
      </w:r>
      <w:proofErr w:type="gram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например</w:t>
      </w:r>
      <w:proofErr w:type="gram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майндфулнес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(осознание текущего момента во время медитации), также повышает результаты применения КПТ. Данная методика помогает сконцентрировать внимание человека на проблеме, взглянуть на неё с разных сторон, сделать выводы и принять правильное решение.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Психофармакологическое лечение уступает психологическому по степени своей доказательности. На этот счёт есть лишь отдельные статьи и несколько мета-</w:t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 xml:space="preserve">анализов. Применяемые группы препаратов отражают патогенетическое сродство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 различными нарушениями:</w:t>
      </w:r>
    </w:p>
    <w:p w:rsidR="001E7966" w:rsidRPr="001E7966" w:rsidRDefault="001E7966" w:rsidP="001E79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другими зависимостями (из-за эффективности 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fldChar w:fldCharType="begin"/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instrText xml:space="preserve"> HYPERLINK "https://protabletky.ru/naltrexone/" \t "_blank" </w:instrText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fldChar w:fldCharType="separate"/>
      </w:r>
      <w:r w:rsidRPr="001E7966"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  <w:t>налтрексона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fldChar w:fldCharType="end"/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);</w:t>
      </w:r>
    </w:p>
    <w:p w:rsidR="001E7966" w:rsidRPr="001E7966" w:rsidRDefault="001E7966" w:rsidP="001E79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расстройствами обсессивно-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компульсивного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спектра (из-за периодической эффективности антидепрессантов из группы СИОЗС — 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fldChar w:fldCharType="begin"/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instrText xml:space="preserve"> HYPERLINK "https://protabletky.ru/paroxetinum/" \t "_blank" </w:instrText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fldChar w:fldCharType="separate"/>
      </w:r>
      <w:r w:rsidRPr="001E7966"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  <w:t>пароксетина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fldChar w:fldCharType="end"/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и 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fldChar w:fldCharType="begin"/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instrText xml:space="preserve"> HYPERLINK "https://protabletky.ru/fluvoxamine/" \t "_blank" </w:instrText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fldChar w:fldCharType="separate"/>
      </w:r>
      <w:r w:rsidRPr="001E7966"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  <w:t>флувоксамина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fldChar w:fldCharType="end"/>
      </w: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);</w:t>
      </w:r>
    </w:p>
    <w:p w:rsidR="001E7966" w:rsidRPr="001E7966" w:rsidRDefault="001E7966" w:rsidP="001E79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аффективными расстройствами биполярного кластера (из-за эффективности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нормотимиков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— стабилизаторов настроения) </w:t>
      </w:r>
      <w:hyperlink r:id="rId49" w:anchor="7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[7]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Как убедить </w:t>
      </w:r>
      <w:proofErr w:type="spellStart"/>
      <w:r w:rsidRPr="001E796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игромана</w:t>
      </w:r>
      <w:proofErr w:type="spellEnd"/>
      <w:r w:rsidRPr="001E796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 лечиться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Вопрос обращения за помощью к психотерапевту является весьма деликатным. В этом деле придется проявить определённую обходительность и терпение. Близким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игромана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следует делиться с ним своими наблюдениями касательно увлечения азартными играми, выражать своё отношение спокойно, задавайте вопросы в доброжелательной форме. Зависимые люди зачастую отвергают наличие зависимости, поэтому придётся проявить настойчивость. Важно тщательно выбирать время для обсуждения, желательно, в спокойной атмосфере и не во время игры, не пытаться выяснять отношения во время ссоры. Нужно быть готовым встретить сопротивление со стороны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игромана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но продолжать настаивать на своём.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Что делать родственникам:</w:t>
      </w:r>
    </w:p>
    <w:p w:rsidR="001E7966" w:rsidRPr="001E7966" w:rsidRDefault="001E7966" w:rsidP="001E79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искать поддержку у других людей с похожей проблемой; посетить группу само- и взаимопомощи для семей "Анонимные Игроки";</w:t>
      </w:r>
    </w:p>
    <w:p w:rsidR="001E7966" w:rsidRPr="001E7966" w:rsidRDefault="001E7966" w:rsidP="001E79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признавать достоинства и положительные качества зависимого, не заострять внимание лишь на его недостатках;</w:t>
      </w:r>
    </w:p>
    <w:p w:rsidR="001E7966" w:rsidRPr="001E7966" w:rsidRDefault="001E7966" w:rsidP="001E79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сохранять спокойствие при разговоре об азартных играх и их последствиях;</w:t>
      </w:r>
    </w:p>
    <w:p w:rsidR="001E7966" w:rsidRPr="001E7966" w:rsidRDefault="001E7966" w:rsidP="001E79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сообщить, что ищете помощи ради себя, потому что азартные игры влияют и на вашу жизнь тоже (и, возможно, детей);</w:t>
      </w:r>
    </w:p>
    <w:p w:rsidR="001E7966" w:rsidRPr="001E7966" w:rsidRDefault="001E7966" w:rsidP="001E79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рассказать детям о проблемах, которые вызывают азартные игры;</w:t>
      </w:r>
    </w:p>
    <w:p w:rsidR="001E7966" w:rsidRPr="001E7966" w:rsidRDefault="001E7966" w:rsidP="001E79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понять, что пристрастие к азартным играм необходимо лечить, несмотря на потенциально продолжительное время, которое может потребоваться;</w:t>
      </w:r>
    </w:p>
    <w:p w:rsidR="001E7966" w:rsidRPr="001E7966" w:rsidRDefault="001E7966" w:rsidP="001E79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ограничить управление деньгами, взять под контроль семейные финансы и просматривать выписки из банка.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Чего не стоит делать:</w:t>
      </w:r>
    </w:p>
    <w:p w:rsidR="001E7966" w:rsidRPr="001E7966" w:rsidRDefault="001E7966" w:rsidP="001E79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читать нотации, поучать или позволять себе потерять контроль над своим гневом;</w:t>
      </w:r>
    </w:p>
    <w:p w:rsidR="001E7966" w:rsidRPr="001E7966" w:rsidRDefault="001E7966" w:rsidP="001E79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исключать игрока из семейной жизни и занятий;</w:t>
      </w:r>
    </w:p>
    <w:p w:rsidR="001E7966" w:rsidRPr="001E7966" w:rsidRDefault="001E7966" w:rsidP="001E79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рассчитывать на немедленное выздоровление или полное решение всех проблем;</w:t>
      </w:r>
    </w:p>
    <w:p w:rsidR="001E7966" w:rsidRPr="001E7966" w:rsidRDefault="001E7966" w:rsidP="001E79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скрывать или отрицать существование проблемы от себя, семьи или других людей.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7"/>
          <w:szCs w:val="27"/>
          <w:lang w:eastAsia="ru-RU"/>
        </w:rPr>
        <w:lastRenderedPageBreak/>
        <w:t>Можно ли преодолеть зависимость от компьютерных игр самостоятельно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Самостоятельно справиться с зависимостью весьма трудно. Важным фактором в преодолении зависимости является поддержка близких, объективное мнение со стороны. Самое эффективное, что может сделать зависимый, это обратиться за помощью к специалисту. Однако, существует и ряд возможностей для самопомощи. Например, к ним относятся приложения для мобильного телефона и компьютера, которые преследуют несколько целей:</w:t>
      </w:r>
    </w:p>
    <w:p w:rsidR="001E7966" w:rsidRPr="001E7966" w:rsidRDefault="001E7966" w:rsidP="001E79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Сокращение времени, проводимого за игрой.</w:t>
      </w:r>
    </w:p>
    <w:p w:rsidR="001E7966" w:rsidRPr="001E7966" w:rsidRDefault="001E7966" w:rsidP="001E79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Обучение игроков распознавать собственное вызывающее привыкание поведение.</w:t>
      </w:r>
    </w:p>
    <w:p w:rsidR="001E7966" w:rsidRPr="001E7966" w:rsidRDefault="001E7966" w:rsidP="001E79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Помощь игрокам в понимании, что вызывает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компульсивные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игры и какой вред наносит их зависимость.</w:t>
      </w:r>
    </w:p>
    <w:p w:rsidR="001E7966" w:rsidRPr="001E7966" w:rsidRDefault="001E7966" w:rsidP="001E79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Предотвращения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компульсивного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поведения в будущем.</w:t>
      </w:r>
    </w:p>
    <w:p w:rsidR="001E7966" w:rsidRPr="001E7966" w:rsidRDefault="001E7966" w:rsidP="001E79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Обучение семей тому, как помочь и поддержать зависимого от игр.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 некоторых городах существует группа поддержки "Анонимные Игроки". Группа самопомощи подходит как для самих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игроманов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так и для членов их семьи. Это отличное место, чтобы обратиться за помощью, поддержкой, обучением и изучением процесса восстановления. АИ не заменит профессиональное лечение, поддержка состоит в собраниях, сети взаимной поддержки, обмене опытом и полезной тематической литературой, помощи в преодолении соблазнов, признание свободного от игр времени и программу "Двенадцать шагов". Программа "Двенадцать шагов" — это способ лечения зависимости, адаптированный из "Двенадцати Шагов" "Анонимных Алкоголиков", в котором большое значение придаётся духовным, философским и религиозным убеждениям. Каждый участник волен выбирать, какие инструменты он готов опробовать, и двигаться в своём собственном темпе, без какого-либо принудительного давления со стороны других.</w:t>
      </w:r>
    </w:p>
    <w:p w:rsidR="001E7966" w:rsidRPr="001E7966" w:rsidRDefault="001E7966" w:rsidP="001E796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1E796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Прогноз. Профилактика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Гарантировать стопроцентное излечение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игромана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не может ни один психотерапевт. Результаты терапии зависят в первую очередь от того, насколько сильно желание пациента избавиться от зависимости. Чем упорнее он работает над собой, тем выше шансы на выздоровление. Положительно на прогноз заболевания влияет поддержка близких.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 профилактической целью рекомендуется:</w:t>
      </w:r>
    </w:p>
    <w:p w:rsidR="001E7966" w:rsidRPr="001E7966" w:rsidRDefault="001E7966" w:rsidP="001E79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предотвращать проблемы зависимых людей, связанные с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игроманией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— трудности в личной жизни, развитие психиатрических заболеваний, суицидальные мысли и др.;</w:t>
      </w:r>
    </w:p>
    <w:p w:rsidR="001E7966" w:rsidRPr="001E7966" w:rsidRDefault="001E7966" w:rsidP="001E79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пропагандировать сбалансированное отношения к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 обществе;</w:t>
      </w:r>
    </w:p>
    <w:p w:rsidR="001E7966" w:rsidRPr="001E7966" w:rsidRDefault="001E7966" w:rsidP="001E79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 xml:space="preserve">обследовать людей, находящихся в группе риска, и защищать их от развития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игромании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 К таким людям относятся подростки из низких социальных слоёв с синдромом дефицита внимания и </w:t>
      </w:r>
      <w:proofErr w:type="spellStart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гиперактивностью</w:t>
      </w:r>
      <w:proofErr w:type="spellEnd"/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минимальной мозговой дисфункцией, нарушением интеллектуального развития, расстройствами личности и т. д. </w:t>
      </w:r>
      <w:hyperlink r:id="rId50" w:anchor="12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[12]</w:t>
        </w:r>
      </w:hyperlink>
      <w:hyperlink r:id="rId51" w:anchor="17" w:history="1">
        <w:r w:rsidRPr="001E796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[17]</w:t>
        </w:r>
      </w:hyperlink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1E7966" w:rsidRPr="001E7966" w:rsidRDefault="001E7966" w:rsidP="001E796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E796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Сегодня активно обсуждается ограничение распространения компьютерных игр, которые формируют повышенную азартность у подростков. Все компьютерные игры можно условно поделить на те, в которых для достижения победы необходимо развивать какие-то навыки (скорость реакции, умение думать, способность решать задачи, хорошо запоминать и т. д.), а также те, где исход игры зависит не от стараний игрока, а от случая, и для достижения победы надо просто дольше играть, тем самым повышая вероятность столкнуться с удачей и выигрышем. Именно второй тип игр формирует игровой стереотип поведения у подростков, активирует, а потом и закрепляет функционирование "игровых" зон мозга.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6CE"/>
    <w:multiLevelType w:val="multilevel"/>
    <w:tmpl w:val="FF2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01C6D"/>
    <w:multiLevelType w:val="multilevel"/>
    <w:tmpl w:val="594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12715"/>
    <w:multiLevelType w:val="multilevel"/>
    <w:tmpl w:val="250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F78E1"/>
    <w:multiLevelType w:val="multilevel"/>
    <w:tmpl w:val="318A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4616C"/>
    <w:multiLevelType w:val="multilevel"/>
    <w:tmpl w:val="72D4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D227E"/>
    <w:multiLevelType w:val="multilevel"/>
    <w:tmpl w:val="CEB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439AE"/>
    <w:multiLevelType w:val="multilevel"/>
    <w:tmpl w:val="EAAC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60ECD"/>
    <w:multiLevelType w:val="multilevel"/>
    <w:tmpl w:val="058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C2B92"/>
    <w:multiLevelType w:val="multilevel"/>
    <w:tmpl w:val="5480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6127B"/>
    <w:multiLevelType w:val="multilevel"/>
    <w:tmpl w:val="43E8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E21BD"/>
    <w:multiLevelType w:val="multilevel"/>
    <w:tmpl w:val="1A6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71A70"/>
    <w:multiLevelType w:val="multilevel"/>
    <w:tmpl w:val="FD6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72BDF"/>
    <w:multiLevelType w:val="multilevel"/>
    <w:tmpl w:val="8C48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C39AD"/>
    <w:multiLevelType w:val="multilevel"/>
    <w:tmpl w:val="E2F4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E2C1E"/>
    <w:multiLevelType w:val="multilevel"/>
    <w:tmpl w:val="8B64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9736E"/>
    <w:multiLevelType w:val="multilevel"/>
    <w:tmpl w:val="2EB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3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A7"/>
    <w:rsid w:val="001D57A7"/>
    <w:rsid w:val="001E796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DACF3-4C2A-4C51-99A4-A5FEDEB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E796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796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796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articlename">
    <w:name w:val="b-article__name"/>
    <w:basedOn w:val="a0"/>
    <w:rsid w:val="001E7966"/>
  </w:style>
  <w:style w:type="paragraph" w:styleId="a3">
    <w:name w:val="Normal (Web)"/>
    <w:basedOn w:val="a"/>
    <w:uiPriority w:val="99"/>
    <w:semiHidden/>
    <w:unhideWhenUsed/>
    <w:rsid w:val="001E79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-article-authorworked-name">
    <w:name w:val="b-article-author__worked-name"/>
    <w:basedOn w:val="a0"/>
    <w:rsid w:val="001E7966"/>
  </w:style>
  <w:style w:type="character" w:styleId="a4">
    <w:name w:val="Hyperlink"/>
    <w:basedOn w:val="a0"/>
    <w:uiPriority w:val="99"/>
    <w:semiHidden/>
    <w:unhideWhenUsed/>
    <w:rsid w:val="001E7966"/>
    <w:rPr>
      <w:color w:val="0000FF"/>
      <w:u w:val="single"/>
    </w:rPr>
  </w:style>
  <w:style w:type="character" w:customStyle="1" w:styleId="b-article-authorlink-surname">
    <w:name w:val="b-article-author__link-surname"/>
    <w:basedOn w:val="a0"/>
    <w:rsid w:val="001E7966"/>
  </w:style>
  <w:style w:type="character" w:customStyle="1" w:styleId="b-article-authorsub-info">
    <w:name w:val="b-article-author__sub-info"/>
    <w:basedOn w:val="a0"/>
    <w:rsid w:val="001E7966"/>
  </w:style>
  <w:style w:type="character" w:customStyle="1" w:styleId="b-articledate">
    <w:name w:val="b-article__date"/>
    <w:basedOn w:val="a0"/>
    <w:rsid w:val="001E7966"/>
  </w:style>
  <w:style w:type="paragraph" w:customStyle="1" w:styleId="ql-align-justify">
    <w:name w:val="ql-align-justify"/>
    <w:basedOn w:val="a"/>
    <w:rsid w:val="001E79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7966"/>
    <w:rPr>
      <w:b/>
      <w:bCs/>
    </w:rPr>
  </w:style>
  <w:style w:type="character" w:styleId="a6">
    <w:name w:val="Emphasis"/>
    <w:basedOn w:val="a0"/>
    <w:uiPriority w:val="20"/>
    <w:qFormat/>
    <w:rsid w:val="001E7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5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58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58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5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95351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9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035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29939">
                          <w:marLeft w:val="0"/>
                          <w:marRight w:val="0"/>
                          <w:marTop w:val="30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E741C"/>
                                <w:left w:val="single" w:sz="6" w:space="8" w:color="AE741C"/>
                                <w:bottom w:val="single" w:sz="6" w:space="8" w:color="AE741C"/>
                                <w:right w:val="single" w:sz="6" w:space="8" w:color="AE741C"/>
                              </w:divBdr>
                            </w:div>
                            <w:div w:id="13678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probolezny.ru/igromaniya/" TargetMode="External"/><Relationship Id="rId26" Type="http://schemas.openxmlformats.org/officeDocument/2006/relationships/hyperlink" Target="https://probolezny.ru/igromaniya/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s://probolezny.ru/narkomaniya/" TargetMode="External"/><Relationship Id="rId34" Type="http://schemas.openxmlformats.org/officeDocument/2006/relationships/hyperlink" Target="https://probolezny.ru/igromaniya/" TargetMode="External"/><Relationship Id="rId42" Type="http://schemas.openxmlformats.org/officeDocument/2006/relationships/hyperlink" Target="https://probolezny.ru/sindrom-deficita-vnimaniya/" TargetMode="External"/><Relationship Id="rId47" Type="http://schemas.openxmlformats.org/officeDocument/2006/relationships/image" Target="media/image6.jpeg"/><Relationship Id="rId50" Type="http://schemas.openxmlformats.org/officeDocument/2006/relationships/hyperlink" Target="https://probolezny.ru/igromaniya/" TargetMode="External"/><Relationship Id="rId7" Type="http://schemas.openxmlformats.org/officeDocument/2006/relationships/hyperlink" Target="https://probolezny.ru/info/about-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bolezny.ru/igromaniya/" TargetMode="External"/><Relationship Id="rId29" Type="http://schemas.openxmlformats.org/officeDocument/2006/relationships/hyperlink" Target="https://probolezny.ru/rasstroystvo-obsessivno-kompulsivnoe/" TargetMode="External"/><Relationship Id="rId11" Type="http://schemas.openxmlformats.org/officeDocument/2006/relationships/hyperlink" Target="https://prodoctorov.ru/ryazan/vrach/217250-fedotov/" TargetMode="External"/><Relationship Id="rId24" Type="http://schemas.openxmlformats.org/officeDocument/2006/relationships/hyperlink" Target="https://probolezny.ru/shizofreniya/" TargetMode="External"/><Relationship Id="rId32" Type="http://schemas.openxmlformats.org/officeDocument/2006/relationships/hyperlink" Target="https://probolezny.ru/igromaniya/" TargetMode="External"/><Relationship Id="rId37" Type="http://schemas.openxmlformats.org/officeDocument/2006/relationships/image" Target="media/image4.jpeg"/><Relationship Id="rId40" Type="http://schemas.openxmlformats.org/officeDocument/2006/relationships/hyperlink" Target="https://probolezny.ru/maniakalno-depressivnyy-psihoz/" TargetMode="External"/><Relationship Id="rId45" Type="http://schemas.openxmlformats.org/officeDocument/2006/relationships/hyperlink" Target="https://probolezny.ru/igromaniya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probolezny.ru/info/about-us/" TargetMode="External"/><Relationship Id="rId10" Type="http://schemas.openxmlformats.org/officeDocument/2006/relationships/hyperlink" Target="https://prodoctorov.ru/ryazan/vrach/217250-fedotov/" TargetMode="External"/><Relationship Id="rId19" Type="http://schemas.openxmlformats.org/officeDocument/2006/relationships/hyperlink" Target="https://probolezny.ru/igromaniya/" TargetMode="External"/><Relationship Id="rId31" Type="http://schemas.openxmlformats.org/officeDocument/2006/relationships/hyperlink" Target="https://probolezny.ru/igromaniya/" TargetMode="External"/><Relationship Id="rId44" Type="http://schemas.openxmlformats.org/officeDocument/2006/relationships/hyperlink" Target="https://probolezny.ru/igromaniya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probolezny.ru/igromaniya/" TargetMode="External"/><Relationship Id="rId22" Type="http://schemas.openxmlformats.org/officeDocument/2006/relationships/hyperlink" Target="https://probolezny.ru/nevroz/" TargetMode="External"/><Relationship Id="rId27" Type="http://schemas.openxmlformats.org/officeDocument/2006/relationships/hyperlink" Target="https://probolezny.ru/igromaniya/" TargetMode="External"/><Relationship Id="rId30" Type="http://schemas.openxmlformats.org/officeDocument/2006/relationships/hyperlink" Target="https://probolezny.ru/igromaniya/" TargetMode="External"/><Relationship Id="rId35" Type="http://schemas.openxmlformats.org/officeDocument/2006/relationships/hyperlink" Target="https://probolezny.ru/panicheskie-ataki/" TargetMode="External"/><Relationship Id="rId43" Type="http://schemas.openxmlformats.org/officeDocument/2006/relationships/hyperlink" Target="https://probolezny.ru/igromaniya/" TargetMode="External"/><Relationship Id="rId48" Type="http://schemas.openxmlformats.org/officeDocument/2006/relationships/hyperlink" Target="https://probolezny.ru/igromaniya/" TargetMode="External"/><Relationship Id="rId8" Type="http://schemas.openxmlformats.org/officeDocument/2006/relationships/hyperlink" Target="https://prodoctorov.ru/ryazan/vrach/217250-fedotov/" TargetMode="External"/><Relationship Id="rId51" Type="http://schemas.openxmlformats.org/officeDocument/2006/relationships/hyperlink" Target="https://probolezny.ru/igromaniy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bolezny.ru/igromaniya/" TargetMode="External"/><Relationship Id="rId17" Type="http://schemas.openxmlformats.org/officeDocument/2006/relationships/hyperlink" Target="https://probolezny.ru/alkogolizm/" TargetMode="External"/><Relationship Id="rId25" Type="http://schemas.openxmlformats.org/officeDocument/2006/relationships/hyperlink" Target="https://probolezny.ru/igromaniya/" TargetMode="External"/><Relationship Id="rId33" Type="http://schemas.openxmlformats.org/officeDocument/2006/relationships/hyperlink" Target="https://probolezny.ru/igromaniya/" TargetMode="External"/><Relationship Id="rId38" Type="http://schemas.openxmlformats.org/officeDocument/2006/relationships/hyperlink" Target="https://probolezny.ru/alkogolnaya-abstinenciya/" TargetMode="External"/><Relationship Id="rId46" Type="http://schemas.openxmlformats.org/officeDocument/2006/relationships/hyperlink" Target="https://probolezny.ru/igromaniya/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s://probolezny.ru/rasstroystvo-trevozhno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bolezny.ru/info/about-us/" TargetMode="External"/><Relationship Id="rId15" Type="http://schemas.openxmlformats.org/officeDocument/2006/relationships/hyperlink" Target="https://probolezny.ru/igromaniya/" TargetMode="External"/><Relationship Id="rId23" Type="http://schemas.openxmlformats.org/officeDocument/2006/relationships/hyperlink" Target="https://probolezny.ru/depressiya/" TargetMode="External"/><Relationship Id="rId28" Type="http://schemas.openxmlformats.org/officeDocument/2006/relationships/hyperlink" Target="https://probolezny.ru/rasstroystva-vlecheniy/" TargetMode="External"/><Relationship Id="rId36" Type="http://schemas.openxmlformats.org/officeDocument/2006/relationships/hyperlink" Target="https://probolezny.ru/igromaniya/" TargetMode="External"/><Relationship Id="rId49" Type="http://schemas.openxmlformats.org/officeDocument/2006/relationships/hyperlink" Target="https://probolezny.ru/igrom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4840</Words>
  <Characters>27592</Characters>
  <Application>Microsoft Office Word</Application>
  <DocSecurity>0</DocSecurity>
  <Lines>229</Lines>
  <Paragraphs>64</Paragraphs>
  <ScaleCrop>false</ScaleCrop>
  <Company/>
  <LinksUpToDate>false</LinksUpToDate>
  <CharactersWithSpaces>32368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2023-04-08T20:14:00Z</dcterms:created>
  <dcterms:modified xsi:type="dcterms:W3CDTF">2023-04-08T20:15:00Z</dcterms:modified>
</cp:coreProperties>
</file>