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E37E4" w:rsidRDefault="00707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Валерия Андреевна Михайловская</w:t>
      </w:r>
    </w:p>
    <w:p w14:paraId="00000002" w14:textId="54E7FC60" w:rsidR="009E37E4" w:rsidRDefault="007072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университет имени М. В. Ломоносова (Москва)</w:t>
      </w:r>
    </w:p>
    <w:p w14:paraId="2024DB30" w14:textId="38B23690" w:rsidR="005D152A" w:rsidRDefault="005D152A" w:rsidP="005D15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н., доц. М. Е. Аникина</w:t>
      </w:r>
      <w:bookmarkStart w:id="0" w:name="_GoBack"/>
      <w:bookmarkEnd w:id="0"/>
    </w:p>
    <w:p w14:paraId="00000003" w14:textId="77777777" w:rsidR="009E37E4" w:rsidRDefault="005D152A">
      <w:pPr>
        <w:spacing w:after="0" w:line="360" w:lineRule="auto"/>
        <w:ind w:firstLine="708"/>
        <w:jc w:val="both"/>
        <w:rPr>
          <w:sz w:val="28"/>
          <w:szCs w:val="28"/>
        </w:rPr>
      </w:pPr>
      <w:hyperlink r:id="rId4">
        <w:r w:rsidR="00707200">
          <w:rPr>
            <w:color w:val="1155CC"/>
            <w:sz w:val="28"/>
            <w:szCs w:val="28"/>
            <w:u w:val="single"/>
          </w:rPr>
          <w:t>mihailovskaya.lera@yandex.ru</w:t>
        </w:r>
      </w:hyperlink>
      <w:r w:rsidR="00707200">
        <w:rPr>
          <w:sz w:val="28"/>
          <w:szCs w:val="28"/>
        </w:rPr>
        <w:t xml:space="preserve"> </w:t>
      </w:r>
    </w:p>
    <w:p w14:paraId="00000004" w14:textId="77777777" w:rsidR="009E37E4" w:rsidRDefault="0070720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05" w14:textId="38453647" w:rsidR="009E37E4" w:rsidRDefault="00707200" w:rsidP="006975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Феномен «культуры соучастия</w:t>
      </w:r>
      <w:r w:rsidR="00697550">
        <w:rPr>
          <w:b/>
          <w:sz w:val="28"/>
          <w:szCs w:val="28"/>
        </w:rPr>
        <w:t>» в политической коммуникации в </w:t>
      </w:r>
      <w:r>
        <w:rPr>
          <w:b/>
          <w:sz w:val="28"/>
          <w:szCs w:val="28"/>
        </w:rPr>
        <w:t>современной России</w:t>
      </w:r>
    </w:p>
    <w:p w14:paraId="00000006" w14:textId="77777777" w:rsidR="009E37E4" w:rsidRDefault="009E37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b/>
          <w:sz w:val="28"/>
          <w:szCs w:val="28"/>
        </w:rPr>
      </w:pPr>
    </w:p>
    <w:p w14:paraId="00000007" w14:textId="77777777" w:rsidR="009E37E4" w:rsidRDefault="00707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проявление «культуры соучастия» в политической коммуникации на примере активности экс-мэра Вологды Сергея Воропанова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». Нами были определены характеристики реализации функций </w:t>
      </w:r>
      <w:proofErr w:type="spellStart"/>
      <w:r>
        <w:rPr>
          <w:sz w:val="28"/>
          <w:szCs w:val="28"/>
        </w:rPr>
        <w:t>партиципарных</w:t>
      </w:r>
      <w:proofErr w:type="spellEnd"/>
      <w:r>
        <w:rPr>
          <w:sz w:val="28"/>
          <w:szCs w:val="28"/>
        </w:rPr>
        <w:t xml:space="preserve"> коммуникаций со стороны градоначальника, а также характер построения дискуссий в комментариях на странице мэра. </w:t>
      </w:r>
    </w:p>
    <w:p w14:paraId="00000008" w14:textId="77777777" w:rsidR="009E37E4" w:rsidRDefault="00707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 xml:space="preserve">культура соучастия, </w:t>
      </w:r>
      <w:proofErr w:type="spellStart"/>
      <w:r>
        <w:rPr>
          <w:sz w:val="28"/>
          <w:szCs w:val="28"/>
        </w:rPr>
        <w:t>партиципарные</w:t>
      </w:r>
      <w:proofErr w:type="spellEnd"/>
      <w:r>
        <w:rPr>
          <w:sz w:val="28"/>
          <w:szCs w:val="28"/>
        </w:rPr>
        <w:t xml:space="preserve"> коммуникации, политическая коммуникация, политика соучастия.</w:t>
      </w:r>
    </w:p>
    <w:p w14:paraId="00000009" w14:textId="77777777" w:rsidR="009E37E4" w:rsidRDefault="009E37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sz w:val="28"/>
          <w:szCs w:val="28"/>
        </w:rPr>
      </w:pPr>
    </w:p>
    <w:p w14:paraId="0000000A" w14:textId="77777777" w:rsidR="009E37E4" w:rsidRDefault="0070720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«культурой соучастия» в контексте нашей работы мы понимаем участие граждан в политической жизни с целью повлиять на принятие решений [3]. Особую роль в этом случае играют социальные сети, которые расширили возможности политического участия и уравняли позиции автора и аудитории. На наш взгляд, представители власти могут рассматривать элементы «культуры соучастия» на этих ресурсах как инструмент сбора информации о местных проблемах с целью их оперативного решения, а аудитория </w:t>
      </w:r>
      <w:r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как возможность рассказать о недочетах в городе, предложить инициативу и обсудить ее с другими участниками коммуникации.</w:t>
      </w:r>
    </w:p>
    <w:p w14:paraId="0000000B" w14:textId="77777777" w:rsidR="009E37E4" w:rsidRDefault="0070720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периода исследования был выбран диапазон с 01.09.2023 по 20.03.2024. На первом этапе мы провели анализ публикаций (N = 501) на странице мэра Вологды Сергея Воропанова во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». На втором этапе </w:t>
      </w:r>
      <w:r>
        <w:rPr>
          <w:sz w:val="28"/>
          <w:szCs w:val="28"/>
        </w:rPr>
        <w:lastRenderedPageBreak/>
        <w:t xml:space="preserve">предстоял анализ комментариев. Выборка происходила путем создания искусственной недели (N = 676). </w:t>
      </w:r>
    </w:p>
    <w:p w14:paraId="0000000C" w14:textId="32817974" w:rsidR="009E37E4" w:rsidRDefault="0070720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классификации функций </w:t>
      </w:r>
      <w:proofErr w:type="spellStart"/>
      <w:r>
        <w:rPr>
          <w:sz w:val="28"/>
          <w:szCs w:val="28"/>
        </w:rPr>
        <w:t>партиципарных</w:t>
      </w:r>
      <w:proofErr w:type="spellEnd"/>
      <w:r>
        <w:rPr>
          <w:sz w:val="28"/>
          <w:szCs w:val="28"/>
        </w:rPr>
        <w:t xml:space="preserve"> коммуникаций российского социолога И. Д. Фомичевой [1], мы выявили, что социально-креативная функция (информирование и вовлечение аудитории) реализуется во всех представленных форматах (пост с изображением, карточки, видео, клип, прямой эфир, пост) </w:t>
      </w:r>
      <w:r>
        <w:rPr>
          <w:sz w:val="28"/>
          <w:szCs w:val="28"/>
          <w:highlight w:val="white"/>
        </w:rPr>
        <w:t>– каждый из 10 случаев</w:t>
      </w:r>
      <w:r>
        <w:rPr>
          <w:sz w:val="28"/>
          <w:szCs w:val="28"/>
        </w:rPr>
        <w:t xml:space="preserve">, фокусирующая (определение и удержание предмета дискуссии) </w:t>
      </w:r>
      <w:r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в видео (10/10), прямых эфирах (10/10) и клипах (9/10). Функция форума (организация публичного многостороннего обмена информацией) чаще проявляется в прямых эфирах (10/10). Первая часть эфира обычно посвящается отчетам, в это время пользователи оставляют комментарии. Они «отрабатываются» представителями власти. В обсуждение могут вмешиваться другие пользователи, вступая в коммуникацию либо с представителями власти, либо с автором комментария. Отметим, что в одной публикации могут реализовываться несколько функций. </w:t>
      </w:r>
    </w:p>
    <w:p w14:paraId="0000000D" w14:textId="59176E48" w:rsidR="009E37E4" w:rsidRDefault="0070720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Аудитория приходит в комментарии с целью обсудить происходящее (25,4%) и оценить сделанное в городе (23,3%), предложить инициативу (18,1%), высказать утверждение (16,5%) или задать вопрос (9,7%). Но говорить о коллективном поиске консенсуса сложно. Возникает проблема, когда коммуникативное пространство используется как платформа для </w:t>
      </w:r>
      <w:proofErr w:type="spellStart"/>
      <w:r>
        <w:rPr>
          <w:sz w:val="28"/>
          <w:szCs w:val="28"/>
        </w:rPr>
        <w:t>автокоммуникации</w:t>
      </w:r>
      <w:proofErr w:type="spellEnd"/>
      <w:r>
        <w:rPr>
          <w:sz w:val="28"/>
          <w:szCs w:val="28"/>
        </w:rPr>
        <w:t xml:space="preserve">. Чтобы рассмотреть характер построения дискуссий, мы взяли за основу категории анализа макроструктуры текста социолога Б. А. Грушина [2]. Так, чаще всего встречаются единичные высказывания (62%), а каждая вторая тема остается без решения. Как итог, мы можем говорить о </w:t>
      </w:r>
      <w:proofErr w:type="spellStart"/>
      <w:r>
        <w:rPr>
          <w:sz w:val="28"/>
          <w:szCs w:val="28"/>
        </w:rPr>
        <w:t>неделиберативности</w:t>
      </w:r>
      <w:proofErr w:type="spellEnd"/>
      <w:r>
        <w:rPr>
          <w:sz w:val="28"/>
          <w:szCs w:val="28"/>
        </w:rPr>
        <w:t xml:space="preserve"> коммуникации.</w:t>
      </w:r>
    </w:p>
    <w:p w14:paraId="0000000E" w14:textId="77777777" w:rsidR="009E37E4" w:rsidRDefault="0070720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командой мэра </w:t>
      </w:r>
      <w:r>
        <w:rPr>
          <w:sz w:val="28"/>
          <w:szCs w:val="28"/>
          <w:highlight w:val="white"/>
        </w:rPr>
        <w:t>в изученный период было создано</w:t>
      </w:r>
      <w:r>
        <w:rPr>
          <w:sz w:val="28"/>
          <w:szCs w:val="28"/>
        </w:rPr>
        <w:t xml:space="preserve"> дискуссионное пространство, в котором прослеживаются черты «культуры соучастия». Однако пользователи не стремятся к поиску совместного решения. В этом случае мы имеем дело с «</w:t>
      </w:r>
      <w:proofErr w:type="spellStart"/>
      <w:r>
        <w:rPr>
          <w:sz w:val="28"/>
          <w:szCs w:val="28"/>
        </w:rPr>
        <w:t>контрпубличной</w:t>
      </w:r>
      <w:proofErr w:type="spellEnd"/>
      <w:r>
        <w:rPr>
          <w:sz w:val="28"/>
          <w:szCs w:val="28"/>
        </w:rPr>
        <w:t xml:space="preserve"> сферой», где сталкиваются </w:t>
      </w:r>
      <w:r>
        <w:rPr>
          <w:sz w:val="28"/>
          <w:szCs w:val="28"/>
        </w:rPr>
        <w:lastRenderedPageBreak/>
        <w:t xml:space="preserve">противоположные позиции. Но такое </w:t>
      </w:r>
      <w:proofErr w:type="spellStart"/>
      <w:r>
        <w:rPr>
          <w:sz w:val="28"/>
          <w:szCs w:val="28"/>
        </w:rPr>
        <w:t>неделиберативное</w:t>
      </w:r>
      <w:proofErr w:type="spellEnd"/>
      <w:r>
        <w:rPr>
          <w:sz w:val="28"/>
          <w:szCs w:val="28"/>
        </w:rPr>
        <w:t xml:space="preserve"> пространство не отрицает возможность реализации демократии. Оно способно мобилизовать противоборствующие стороны [4], что может быть рассмотрено в дальнейших исследованиях этой проблемы. </w:t>
      </w:r>
    </w:p>
    <w:p w14:paraId="0000000F" w14:textId="77777777" w:rsidR="009E37E4" w:rsidRDefault="009E37E4">
      <w:pPr>
        <w:spacing w:after="0" w:line="360" w:lineRule="auto"/>
        <w:jc w:val="both"/>
        <w:rPr>
          <w:sz w:val="28"/>
          <w:szCs w:val="28"/>
        </w:rPr>
      </w:pPr>
    </w:p>
    <w:p w14:paraId="00000010" w14:textId="77777777" w:rsidR="009E37E4" w:rsidRDefault="00707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Литература</w:t>
      </w:r>
    </w:p>
    <w:p w14:paraId="00000011" w14:textId="77777777" w:rsidR="009E37E4" w:rsidRDefault="00707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Фомичева И. Д. СМИ как </w:t>
      </w:r>
      <w:proofErr w:type="spellStart"/>
      <w:r>
        <w:rPr>
          <w:sz w:val="28"/>
          <w:szCs w:val="28"/>
        </w:rPr>
        <w:t>партиципарные</w:t>
      </w:r>
      <w:proofErr w:type="spellEnd"/>
      <w:r>
        <w:rPr>
          <w:sz w:val="28"/>
          <w:szCs w:val="28"/>
        </w:rPr>
        <w:t xml:space="preserve"> коммуникации: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д-ра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наук. М., 2002.</w:t>
      </w:r>
    </w:p>
    <w:p w14:paraId="00000012" w14:textId="0D49642F" w:rsidR="009E37E4" w:rsidRDefault="00707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Хруль</w:t>
      </w:r>
      <w:proofErr w:type="spellEnd"/>
      <w:r>
        <w:rPr>
          <w:sz w:val="28"/>
          <w:szCs w:val="28"/>
        </w:rPr>
        <w:t xml:space="preserve"> В. М. История одного семинара // Открывая Грушина / ред.-сост. М. Е. Аникина</w:t>
      </w:r>
      <w:r w:rsidR="000664DC">
        <w:rPr>
          <w:sz w:val="28"/>
          <w:szCs w:val="28"/>
        </w:rPr>
        <w:t xml:space="preserve">, В. М. </w:t>
      </w:r>
      <w:proofErr w:type="spellStart"/>
      <w:r w:rsidR="000664DC">
        <w:rPr>
          <w:sz w:val="28"/>
          <w:szCs w:val="28"/>
        </w:rPr>
        <w:t>Хруль</w:t>
      </w:r>
      <w:proofErr w:type="spellEnd"/>
      <w:r w:rsidR="000664DC">
        <w:rPr>
          <w:sz w:val="28"/>
          <w:szCs w:val="28"/>
        </w:rPr>
        <w:t>. М.,  2010. С. 75–</w:t>
      </w:r>
      <w:r>
        <w:rPr>
          <w:sz w:val="28"/>
          <w:szCs w:val="28"/>
        </w:rPr>
        <w:t>90.</w:t>
      </w:r>
    </w:p>
    <w:p w14:paraId="00000013" w14:textId="7407F40F" w:rsidR="009E37E4" w:rsidRPr="00707200" w:rsidRDefault="00707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32"/>
          <w:szCs w:val="32"/>
          <w:lang w:val="en-US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  <w:highlight w:val="white"/>
        </w:rPr>
        <w:t>Jenkins</w:t>
      </w:r>
      <w:proofErr w:type="spellEnd"/>
      <w:r>
        <w:rPr>
          <w:sz w:val="28"/>
          <w:szCs w:val="28"/>
          <w:highlight w:val="white"/>
        </w:rPr>
        <w:t xml:space="preserve"> H. </w:t>
      </w:r>
      <w:proofErr w:type="spellStart"/>
      <w:r>
        <w:rPr>
          <w:sz w:val="28"/>
          <w:szCs w:val="28"/>
          <w:highlight w:val="white"/>
        </w:rPr>
        <w:t>et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al</w:t>
      </w:r>
      <w:proofErr w:type="spellEnd"/>
      <w:r>
        <w:rPr>
          <w:sz w:val="28"/>
          <w:szCs w:val="28"/>
          <w:highlight w:val="white"/>
        </w:rPr>
        <w:t xml:space="preserve">. </w:t>
      </w:r>
      <w:r w:rsidRPr="00707200">
        <w:rPr>
          <w:sz w:val="28"/>
          <w:szCs w:val="28"/>
          <w:highlight w:val="white"/>
          <w:lang w:val="en-US"/>
        </w:rPr>
        <w:t xml:space="preserve">Participatory politics // Keywords in remix studies. Routledge, 2017. </w:t>
      </w:r>
      <w:r w:rsidR="000664DC">
        <w:rPr>
          <w:sz w:val="28"/>
          <w:szCs w:val="28"/>
          <w:lang w:val="en-US"/>
        </w:rPr>
        <w:t>P. 230–</w:t>
      </w:r>
      <w:r w:rsidRPr="00707200">
        <w:rPr>
          <w:sz w:val="28"/>
          <w:szCs w:val="28"/>
          <w:lang w:val="en-US"/>
        </w:rPr>
        <w:t xml:space="preserve">245. </w:t>
      </w:r>
    </w:p>
    <w:p w14:paraId="00000014" w14:textId="51AE9586" w:rsidR="009E37E4" w:rsidRDefault="00707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707200">
        <w:rPr>
          <w:sz w:val="28"/>
          <w:szCs w:val="28"/>
          <w:lang w:val="en-US"/>
        </w:rPr>
        <w:t xml:space="preserve">4. </w:t>
      </w:r>
      <w:proofErr w:type="spellStart"/>
      <w:r w:rsidRPr="00707200">
        <w:rPr>
          <w:sz w:val="28"/>
          <w:szCs w:val="28"/>
          <w:lang w:val="en-US"/>
        </w:rPr>
        <w:t>Mouffe</w:t>
      </w:r>
      <w:proofErr w:type="spellEnd"/>
      <w:r w:rsidRPr="00707200">
        <w:rPr>
          <w:sz w:val="28"/>
          <w:szCs w:val="28"/>
          <w:lang w:val="en-US"/>
        </w:rPr>
        <w:t xml:space="preserve"> C. Deliberative democracy or agonistic pluralism? // Social research. </w:t>
      </w:r>
      <w:r w:rsidR="000664DC">
        <w:rPr>
          <w:sz w:val="28"/>
          <w:szCs w:val="28"/>
        </w:rPr>
        <w:t xml:space="preserve">1999. </w:t>
      </w:r>
      <w:proofErr w:type="spellStart"/>
      <w:r w:rsidR="000664DC">
        <w:rPr>
          <w:sz w:val="28"/>
          <w:szCs w:val="28"/>
        </w:rPr>
        <w:t>No</w:t>
      </w:r>
      <w:proofErr w:type="spellEnd"/>
      <w:r w:rsidR="000664DC">
        <w:rPr>
          <w:sz w:val="28"/>
          <w:szCs w:val="28"/>
        </w:rPr>
        <w:t>. 3. P. 745–</w:t>
      </w:r>
      <w:r>
        <w:rPr>
          <w:sz w:val="28"/>
          <w:szCs w:val="28"/>
        </w:rPr>
        <w:t xml:space="preserve">758. </w:t>
      </w:r>
    </w:p>
    <w:p w14:paraId="00000015" w14:textId="77777777" w:rsidR="009E37E4" w:rsidRDefault="009E37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</w:p>
    <w:sectPr w:rsidR="009E37E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E4"/>
    <w:rsid w:val="000664DC"/>
    <w:rsid w:val="005D152A"/>
    <w:rsid w:val="00697550"/>
    <w:rsid w:val="00707200"/>
    <w:rsid w:val="009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782E4-B43D-4AC0-843B-38F67F3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ilovskaya.ler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804504</cp:lastModifiedBy>
  <cp:revision>5</cp:revision>
  <dcterms:created xsi:type="dcterms:W3CDTF">2024-09-23T07:24:00Z</dcterms:created>
  <dcterms:modified xsi:type="dcterms:W3CDTF">2024-11-11T12:51:00Z</dcterms:modified>
</cp:coreProperties>
</file>