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8BF4C3" w:rsidR="00A0081D" w:rsidRPr="00BE268C" w:rsidRDefault="0093342F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268C">
        <w:rPr>
          <w:rFonts w:ascii="Times New Roman" w:eastAsia="Times New Roman" w:hAnsi="Times New Roman" w:cs="Times New Roman"/>
          <w:sz w:val="28"/>
          <w:szCs w:val="28"/>
        </w:rPr>
        <w:t>Светлана</w:t>
      </w:r>
      <w:r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Сергеевна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FD3" w:rsidRPr="00BE268C">
        <w:rPr>
          <w:rFonts w:ascii="Times New Roman" w:eastAsia="Times New Roman" w:hAnsi="Times New Roman" w:cs="Times New Roman"/>
          <w:sz w:val="28"/>
          <w:szCs w:val="28"/>
        </w:rPr>
        <w:t>Бодрунова</w:t>
      </w:r>
      <w:r w:rsidR="00BE268C" w:rsidRPr="00BE2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2" w14:textId="77777777" w:rsidR="00A0081D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8C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0000004" w14:textId="75409C70" w:rsidR="00A0081D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8C">
        <w:rPr>
          <w:rFonts w:ascii="Times New Roman" w:eastAsia="Times New Roman" w:hAnsi="Times New Roman" w:cs="Times New Roman"/>
          <w:sz w:val="28"/>
          <w:szCs w:val="28"/>
        </w:rPr>
        <w:t xml:space="preserve">s.bodrunova@spbu.ru </w:t>
      </w:r>
    </w:p>
    <w:p w14:paraId="00000005" w14:textId="77777777" w:rsidR="00A0081D" w:rsidRPr="00BE268C" w:rsidRDefault="00A0081D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A0081D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68C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журналистский стандарт и его трансформация в XXI веке в западных медиаисследованиях</w:t>
      </w:r>
    </w:p>
    <w:p w14:paraId="00000007" w14:textId="77777777" w:rsidR="00A0081D" w:rsidRPr="00BE268C" w:rsidRDefault="00A0081D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1A317AEB" w:rsidR="00A0081D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8C">
        <w:rPr>
          <w:rFonts w:ascii="Times New Roman" w:eastAsia="Times New Roman" w:hAnsi="Times New Roman" w:cs="Times New Roman"/>
          <w:sz w:val="28"/>
          <w:szCs w:val="28"/>
        </w:rPr>
        <w:t>Профессиональный журналистский стандарт в евроатлантических медиа и западной медиатеории сочетает черты «адвокативной» и «арбитражной» журналистики. Сегодня под влиянием роста новостного потока и «децентрации» журналистики наблюдается коррозия профессионального стандарта объективной журналистики в сторону его эмоционализации.</w:t>
      </w:r>
    </w:p>
    <w:p w14:paraId="00000009" w14:textId="7B1BC59B" w:rsidR="00A0081D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268C">
        <w:rPr>
          <w:rFonts w:ascii="Times New Roman" w:eastAsia="Times New Roman" w:hAnsi="Times New Roman" w:cs="Times New Roman"/>
          <w:sz w:val="28"/>
          <w:szCs w:val="28"/>
        </w:rPr>
        <w:t>Ключевые слова: стандарт журналистики, объективная журналистика, медиатеория, эмоционализация журналистики</w:t>
      </w:r>
      <w:r w:rsidR="00B1583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A0081D" w:rsidRPr="00BE268C" w:rsidRDefault="00A0081D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B117135" w:rsidR="00A0081D" w:rsidRPr="00BE268C" w:rsidRDefault="00B1583C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</w:t>
      </w:r>
      <w:r w:rsidR="00EB4FD3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медиасистема</w:t>
      </w:r>
      <w:r w:rsidR="00EB4FD3" w:rsidRPr="00BE268C">
        <w:rPr>
          <w:rFonts w:ascii="Times New Roman" w:eastAsia="Times New Roman" w:hAnsi="Times New Roman" w:cs="Times New Roman"/>
          <w:sz w:val="28"/>
          <w:szCs w:val="28"/>
        </w:rPr>
        <w:t xml:space="preserve"> продолжает испытывать влияние западных моделей журналистики, в т</w:t>
      </w:r>
      <w:r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ом числе</w:t>
      </w:r>
      <w:r w:rsidR="00EB4FD3" w:rsidRPr="00BE268C">
        <w:rPr>
          <w:rFonts w:ascii="Times New Roman" w:eastAsia="Times New Roman" w:hAnsi="Times New Roman" w:cs="Times New Roman"/>
          <w:sz w:val="28"/>
          <w:szCs w:val="28"/>
        </w:rPr>
        <w:t xml:space="preserve"> моделей журналистского профессионализма. До сих пор в российской медиасреде распространено мнение, что западный стандарт журналистики и его этико-правовой базис – это монолитный свод норм, гайдлайнов и индустриальных шаблонов, включая жанровые. Но современная медиатеория прослеживает наличие двух противостоящих друг другу парадигм ценностно-нормативного наполнения журналистского стандарта.</w:t>
      </w:r>
    </w:p>
    <w:p w14:paraId="0000000D" w14:textId="49C0EF7E" w:rsidR="00A0081D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8C">
        <w:rPr>
          <w:rFonts w:ascii="Times New Roman" w:eastAsia="Times New Roman" w:hAnsi="Times New Roman" w:cs="Times New Roman"/>
          <w:sz w:val="28"/>
          <w:szCs w:val="28"/>
        </w:rPr>
        <w:t>Стандарт журналистики, лежащий в основе ее профессиональной дифференциации, прошел несколько этапов формирования. Д.</w:t>
      </w:r>
      <w:r w:rsidR="00B1583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>Хэллин и П.</w:t>
      </w:r>
      <w:r w:rsidR="00B1583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>Манчини указывают, что в евроатлантических медиасистемах сосуществуют две исторические парадигмы политической пристрас</w:t>
      </w:r>
      <w:r w:rsidR="0093342F" w:rsidRPr="00BE268C">
        <w:rPr>
          <w:rFonts w:ascii="Times New Roman" w:eastAsia="Times New Roman" w:hAnsi="Times New Roman" w:cs="Times New Roman"/>
          <w:sz w:val="28"/>
          <w:szCs w:val="28"/>
        </w:rPr>
        <w:t>тности СМИ [</w:t>
      </w:r>
      <w:r w:rsidR="00BE268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3342F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 xml:space="preserve">26–27]. Но парадигмальная разница касается не только 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политической пристрастности (</w:t>
      </w:r>
      <w:r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>media bias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>). Она относится ко всему ценностному наполнению журналистской деятельности, включая понимание миссии журналистики и интересов общества (</w:t>
      </w:r>
      <w:r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>public interest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>), отношение к истине и ее интерпретации, нормы работы с источниками информации, принципы реконструкции реальности, понимание социальной ответственности и механизмы подотчетности обществу. На уровне частных требований это вопросы автономии, объективности, разделения фактического репортинга и комментирования, наличия нескольких источников информации, связи журналистики и активизма и др. Мы ранее назвали два этих подхода парадигмами адвокатирования и арбитража [</w:t>
      </w:r>
      <w:r w:rsidR="00BE268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>]. Также их условно называют парадигмами журналистского профессионализма XVIII и XIX вв. – по времени формирования; парадигмами нейтральной прессы и прессы участия – по пониманию сути социальной и личной от</w:t>
      </w:r>
      <w:r w:rsidR="0093342F" w:rsidRPr="00BE268C">
        <w:rPr>
          <w:rFonts w:ascii="Times New Roman" w:eastAsia="Times New Roman" w:hAnsi="Times New Roman" w:cs="Times New Roman"/>
          <w:sz w:val="28"/>
          <w:szCs w:val="28"/>
        </w:rPr>
        <w:t>ветственности журналиста [3</w:t>
      </w:r>
      <w:r w:rsidR="0093342F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>523].</w:t>
      </w:r>
    </w:p>
    <w:p w14:paraId="0000000F" w14:textId="77777777" w:rsidR="00A0081D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8C">
        <w:rPr>
          <w:rFonts w:ascii="Times New Roman" w:eastAsia="Times New Roman" w:hAnsi="Times New Roman" w:cs="Times New Roman"/>
          <w:sz w:val="28"/>
          <w:szCs w:val="28"/>
        </w:rPr>
        <w:t>Парадигма адвокатирования предполагает признание тем или иным СМИ своей общественно-политической позиции и открытое отстаивание интересов отдельных акторов или социальных групп. В парадигме арбитража, напротив, СМИ политически нейтрально, автономно и дистанцированно от конкретных акторов реконструирует соотношение групп интересов в рамках того или иного вопроса повестки дня, занимая позицию арбитра и предоставляя потребителю контента самому решать, на чью сторону вставать в общественном споре.</w:t>
      </w:r>
    </w:p>
    <w:p w14:paraId="00000013" w14:textId="7B957DBC" w:rsidR="00A0081D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8C">
        <w:rPr>
          <w:rFonts w:ascii="Times New Roman" w:eastAsia="Times New Roman" w:hAnsi="Times New Roman" w:cs="Times New Roman"/>
          <w:sz w:val="28"/>
          <w:szCs w:val="28"/>
        </w:rPr>
        <w:t xml:space="preserve">При этом природа профессионального стандарта, в первую очередь, не моральная или политическая, а коммерческая. Она отражает зависимость медиа от основных источников дохода. Так, в XVIII веке медиа финансировались собственниками и должны были стоять на их позиции. В конце XIX века, с ростом грамотности и общественного спроса на журналистику, с одной стороны, и технологий быстрой печати, с другой, стало возможным выживание журналистики за счет «модели двойной 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конверсии» </w:t>
      </w:r>
      <w:r w:rsidR="00B1583C" w:rsidRPr="00BE26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 xml:space="preserve"> продажи рекламных площадей рекламодателю и контента медиапотребителю. </w:t>
      </w:r>
      <w:r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Это сформировало потребность противостояния прессы и ТВ политическому ист</w:t>
      </w:r>
      <w:r w:rsidR="00B1583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блишменту ради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долговременного доверия со стороны аудитории (а значит, и финансового выживания на основе стабильного спроса).</w:t>
      </w:r>
      <w:r w:rsidR="0093342F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 xml:space="preserve">Новые факторы развития медиарынка, сложившиеся в конце XX века, привели к формированию новой модели журналистского стандарта – эмоциональной. Экспоненциальный рост объема публичного нежурналистского контента в </w:t>
      </w:r>
      <w:r w:rsidR="00B1583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BE268C">
        <w:rPr>
          <w:rFonts w:ascii="Times New Roman" w:eastAsia="Times New Roman" w:hAnsi="Times New Roman" w:cs="Times New Roman"/>
          <w:sz w:val="28"/>
          <w:szCs w:val="28"/>
        </w:rPr>
        <w:t>нтернете</w:t>
      </w:r>
      <w:proofErr w:type="spellEnd"/>
      <w:r w:rsidRPr="00BE268C">
        <w:rPr>
          <w:rFonts w:ascii="Times New Roman" w:eastAsia="Times New Roman" w:hAnsi="Times New Roman" w:cs="Times New Roman"/>
          <w:sz w:val="28"/>
          <w:szCs w:val="28"/>
        </w:rPr>
        <w:t xml:space="preserve"> привел к двум факторам, повлиявшим на связь журналиста и аудитории. Это переворот в связке «спрос – предложение» («теперь контент гоняется за потребителем») и так называемая децентрация журналистики [</w:t>
      </w:r>
      <w:r w:rsidR="00BE268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>], т</w:t>
      </w:r>
      <w:r w:rsidR="00B1583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о есть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 xml:space="preserve"> ее отход на периферию общественной дискуссии в силу роста значимости новых коммуникаторов, включая влиятельных пользователей, бренды и политических игроков. В итоге в остроконкурентной среде объективная журналистика теряет внимание аудитории и вынуждена задействовать эмоциональные механизмы вовлечения, что критически влияет на жанры и работу с источником [</w:t>
      </w:r>
      <w:r w:rsidR="00BE268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BE268C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00000015" w14:textId="77777777" w:rsidR="00A0081D" w:rsidRPr="00BE268C" w:rsidRDefault="00A0081D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A0081D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268C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533F1CEA" w14:textId="0779C8C2" w:rsidR="00BE268C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BE268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Бодрунова С. С. Парадигмы «адвокатирования» и «арбитража» в западной журналистской этике и их ценностно-нормативное наполнение // Социология и право. </w:t>
      </w:r>
      <w:r w:rsidR="00BE268C"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>2014. №1. С. 16–23.</w:t>
      </w:r>
    </w:p>
    <w:p w14:paraId="00000018" w14:textId="545A7524" w:rsidR="00A0081D" w:rsidRPr="00BE268C" w:rsidRDefault="00BE268C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EB4FD3"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>Hallin D., Mancini P. Comparing media systems. Cambridge (MA): Cambridge University Press, 2004.</w:t>
      </w:r>
    </w:p>
    <w:p w14:paraId="0000001A" w14:textId="28B8A1C7" w:rsidR="00A0081D" w:rsidRPr="00BE268C" w:rsidRDefault="00EB4FD3" w:rsidP="00B158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Johnstone J. W. C., Slawski E. J., Bowman W. W. The </w:t>
      </w:r>
      <w:r w:rsidR="00B1583C"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professional values of </w:t>
      </w:r>
      <w:r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American </w:t>
      </w:r>
      <w:r w:rsidR="00B1583C"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>smen // Public Opinion Quarterly. 1972–73. Vol. 36</w:t>
      </w:r>
      <w:r w:rsidR="00B1583C" w:rsidRPr="00BE2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>(4). P. 522–540.</w:t>
      </w:r>
    </w:p>
    <w:p w14:paraId="00000024" w14:textId="6AA75388" w:rsidR="00A0081D" w:rsidRPr="00BE268C" w:rsidRDefault="00EB4FD3" w:rsidP="00BE26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>4. Wahl-Jorgensen K. Emotions, media and politics. John Wiley &amp; Sons, 2019.</w:t>
      </w:r>
    </w:p>
    <w:p w14:paraId="476010F6" w14:textId="439D2B25" w:rsidR="00BE268C" w:rsidRPr="00BE268C" w:rsidRDefault="00BE268C" w:rsidP="00BE26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5. </w:t>
      </w:r>
      <w:r w:rsidRPr="00BE268C">
        <w:rPr>
          <w:rFonts w:ascii="Times New Roman" w:eastAsia="Times New Roman" w:hAnsi="Times New Roman" w:cs="Times New Roman"/>
          <w:sz w:val="28"/>
          <w:szCs w:val="28"/>
          <w:lang w:val="en-US"/>
        </w:rPr>
        <w:t>Wahl-Jorgensen K. News production, ethnography, and power: On the challenges of newsroom-centricity. Bloomington (IN): Indiana University Press, 2009.</w:t>
      </w:r>
    </w:p>
    <w:sectPr w:rsidR="00BE268C" w:rsidRPr="00BE268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1466" w14:textId="77777777" w:rsidR="00581FB8" w:rsidRDefault="00581FB8">
      <w:pPr>
        <w:spacing w:line="240" w:lineRule="auto"/>
      </w:pPr>
      <w:r>
        <w:separator/>
      </w:r>
    </w:p>
  </w:endnote>
  <w:endnote w:type="continuationSeparator" w:id="0">
    <w:p w14:paraId="7C57E73C" w14:textId="77777777" w:rsidR="00581FB8" w:rsidRDefault="00581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8E2B" w14:textId="77777777" w:rsidR="00581FB8" w:rsidRDefault="00581FB8">
      <w:pPr>
        <w:spacing w:line="240" w:lineRule="auto"/>
      </w:pPr>
      <w:r>
        <w:separator/>
      </w:r>
    </w:p>
  </w:footnote>
  <w:footnote w:type="continuationSeparator" w:id="0">
    <w:p w14:paraId="2A80A406" w14:textId="77777777" w:rsidR="00581FB8" w:rsidRDefault="00581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A0081D" w:rsidRDefault="00A008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1D"/>
    <w:rsid w:val="00262F38"/>
    <w:rsid w:val="00581FB8"/>
    <w:rsid w:val="0076335D"/>
    <w:rsid w:val="0093342F"/>
    <w:rsid w:val="009C4192"/>
    <w:rsid w:val="00A0081D"/>
    <w:rsid w:val="00B1583C"/>
    <w:rsid w:val="00BE268C"/>
    <w:rsid w:val="00E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101C"/>
  <w15:docId w15:val="{A3FCD0C2-6B66-4B4F-A553-10E73723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4</cp:revision>
  <dcterms:created xsi:type="dcterms:W3CDTF">2022-11-11T19:48:00Z</dcterms:created>
  <dcterms:modified xsi:type="dcterms:W3CDTF">2022-11-11T20:08:00Z</dcterms:modified>
</cp:coreProperties>
</file>