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9D" w:rsidRPr="00D708FA" w:rsidRDefault="00065D9D" w:rsidP="00B73A6A">
      <w:pPr>
        <w:widowControl w:val="0"/>
        <w:autoSpaceDE w:val="0"/>
        <w:autoSpaceDN w:val="0"/>
        <w:spacing w:after="0" w:line="271" w:lineRule="auto"/>
        <w:ind w:left="340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</w:pP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В Арбитражный суд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______________</w:t>
      </w:r>
    </w:p>
    <w:p w:rsidR="00065D9D" w:rsidRPr="004B1A96" w:rsidRDefault="00247A37" w:rsidP="00B73A6A">
      <w:pPr>
        <w:spacing w:after="0" w:line="271" w:lineRule="auto"/>
        <w:ind w:left="34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247A37" w:rsidRDefault="00065D9D" w:rsidP="00B73A6A">
      <w:pPr>
        <w:tabs>
          <w:tab w:val="left" w:pos="9512"/>
        </w:tabs>
        <w:spacing w:after="0" w:line="271" w:lineRule="auto"/>
        <w:ind w:left="3402" w:right="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FA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D708F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7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47A3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065D9D" w:rsidRPr="00D708FA" w:rsidRDefault="00065D9D" w:rsidP="00B73A6A">
      <w:pPr>
        <w:tabs>
          <w:tab w:val="left" w:pos="9512"/>
        </w:tabs>
        <w:spacing w:after="0" w:line="271" w:lineRule="auto"/>
        <w:ind w:left="3402" w:right="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F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Судья </w:t>
      </w:r>
      <w:r w:rsidR="00247A37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D70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5D9D" w:rsidRPr="00D708FA" w:rsidRDefault="00065D9D" w:rsidP="00B73A6A">
      <w:pPr>
        <w:keepNext/>
        <w:keepLines/>
        <w:spacing w:after="0" w:line="271" w:lineRule="auto"/>
        <w:ind w:left="3402"/>
        <w:outlineLvl w:val="6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 w:rsidRPr="00D708FA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  <w:t>Заявител</w:t>
      </w:r>
      <w:r w:rsidR="00516D2C" w:rsidRPr="00D708FA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  <w:t>и</w:t>
      </w:r>
      <w:r w:rsidRPr="00D708FA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58053C" w:rsidRPr="00D708FA" w:rsidRDefault="00247A37" w:rsidP="00B73A6A">
      <w:pPr>
        <w:keepNext/>
        <w:keepLines/>
        <w:spacing w:after="0" w:line="271" w:lineRule="auto"/>
        <w:ind w:left="3402"/>
        <w:outlineLvl w:val="6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</w:rPr>
        <w:t>__________________________</w:t>
      </w:r>
    </w:p>
    <w:p w:rsidR="003878CF" w:rsidRPr="00D708FA" w:rsidRDefault="006C6002" w:rsidP="00247A37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Ответчик: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___________________________</w:t>
      </w:r>
    </w:p>
    <w:p w:rsidR="00EE4149" w:rsidRPr="00D708FA" w:rsidRDefault="00C73EE1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sz w:val="24"/>
          <w:szCs w:val="24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>Страховая компания</w:t>
      </w:r>
      <w:r w:rsidR="003878CF"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78CF" w:rsidRPr="00D708FA">
        <w:rPr>
          <w:sz w:val="24"/>
          <w:szCs w:val="24"/>
        </w:rPr>
        <w:t xml:space="preserve"> </w:t>
      </w:r>
    </w:p>
    <w:p w:rsidR="00C73EE1" w:rsidRPr="00D708FA" w:rsidRDefault="00247A37" w:rsidP="004B1A96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</w:t>
      </w:r>
    </w:p>
    <w:p w:rsidR="006A7E26" w:rsidRPr="00D708FA" w:rsidRDefault="006A7E26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СРО АУ </w:t>
      </w:r>
      <w:r w:rsidR="00247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6A7E26" w:rsidRDefault="006A7E26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3428" w:rsidRDefault="00AE3428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A3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</w:p>
    <w:p w:rsidR="00AE3428" w:rsidRDefault="00AE3428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Кредиторы:</w:t>
      </w:r>
    </w:p>
    <w:p w:rsidR="00AE3428" w:rsidRDefault="00247A37" w:rsidP="00B73A6A">
      <w:pPr>
        <w:widowControl w:val="0"/>
        <w:tabs>
          <w:tab w:val="left" w:pos="4328"/>
          <w:tab w:val="left" w:pos="7165"/>
          <w:tab w:val="left" w:pos="7196"/>
          <w:tab w:val="left" w:pos="9386"/>
        </w:tabs>
        <w:autoSpaceDE w:val="0"/>
        <w:autoSpaceDN w:val="0"/>
        <w:spacing w:after="0" w:line="271" w:lineRule="auto"/>
        <w:ind w:left="3402" w:right="1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</w:t>
      </w:r>
    </w:p>
    <w:p w:rsidR="00C41229" w:rsidRDefault="00C41229" w:rsidP="00B73A6A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229" w:rsidRDefault="00C41229" w:rsidP="00B73A6A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D9D" w:rsidRPr="00D708FA" w:rsidRDefault="00065D9D" w:rsidP="00B73A6A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65D9D" w:rsidRPr="00D708FA" w:rsidRDefault="00065D9D" w:rsidP="00B73A6A">
      <w:pPr>
        <w:shd w:val="clear" w:color="auto" w:fill="FFFFFF"/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C73EE1" w:rsidRPr="00D7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взыскании убытков</w:t>
      </w:r>
    </w:p>
    <w:p w:rsidR="00065D9D" w:rsidRPr="00D708FA" w:rsidRDefault="00065D9D" w:rsidP="00B73A6A">
      <w:pPr>
        <w:widowControl w:val="0"/>
        <w:tabs>
          <w:tab w:val="left" w:pos="851"/>
          <w:tab w:val="left" w:pos="1476"/>
          <w:tab w:val="left" w:pos="3375"/>
        </w:tabs>
        <w:autoSpaceDE w:val="0"/>
        <w:autoSpaceDN w:val="0"/>
        <w:spacing w:after="0" w:line="271" w:lineRule="auto"/>
        <w:ind w:right="374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Решением Арбитражного суда </w:t>
      </w:r>
      <w:r w:rsidR="00247A37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</w:t>
      </w:r>
      <w:r w:rsidR="00247A37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</w:t>
      </w:r>
      <w:r w:rsidR="00247A37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признано несостоятельным (банкротом), открыто конкурсное производство сроком на шесть месяцев. Конкурсным управляющим Общества с ограниченной ответственностью </w:t>
      </w:r>
      <w:r w:rsidR="00247A37">
        <w:rPr>
          <w:rFonts w:ascii="Times New Roman" w:eastAsia="Times New Roman" w:hAnsi="Times New Roman" w:cs="Times New Roman"/>
          <w:sz w:val="24"/>
          <w:szCs w:val="24"/>
          <w:lang w:bidi="en-US"/>
        </w:rPr>
        <w:t>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утвержден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47A37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</w:t>
      </w:r>
    </w:p>
    <w:p w:rsidR="00065D9D" w:rsidRPr="00D708FA" w:rsidRDefault="00065D9D" w:rsidP="00B73A6A">
      <w:pPr>
        <w:widowControl w:val="0"/>
        <w:tabs>
          <w:tab w:val="left" w:pos="851"/>
          <w:tab w:val="left" w:pos="1476"/>
          <w:tab w:val="left" w:pos="3375"/>
        </w:tabs>
        <w:autoSpaceDE w:val="0"/>
        <w:autoSpaceDN w:val="0"/>
        <w:spacing w:after="0" w:line="271" w:lineRule="auto"/>
        <w:ind w:right="37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</w:pP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Определением Арбитражного суда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_</w:t>
      </w:r>
      <w:proofErr w:type="gramStart"/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от</w:t>
      </w:r>
      <w:proofErr w:type="gramEnd"/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___________</w:t>
      </w: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 </w:t>
      </w:r>
      <w:proofErr w:type="gramStart"/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eastAsia="ru-RU"/>
        </w:rPr>
        <w:t>по</w:t>
      </w:r>
      <w:proofErr w:type="gramEnd"/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 делу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______________</w:t>
      </w: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eastAsia="ru-RU"/>
        </w:rPr>
        <w:t xml:space="preserve">требование кредитора </w:t>
      </w:r>
      <w:r w:rsidR="00247A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>________________</w:t>
      </w:r>
      <w:r w:rsidRPr="00D708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bidi="en-US"/>
        </w:rPr>
        <w:t xml:space="preserve"> включено в реестр кредиторов должника.</w:t>
      </w:r>
    </w:p>
    <w:p w:rsidR="00E36979" w:rsidRPr="00D708FA" w:rsidRDefault="00247A37" w:rsidP="00B73A6A">
      <w:pPr>
        <w:pStyle w:val="a6"/>
        <w:shd w:val="clear" w:color="auto" w:fill="FFFFFF"/>
        <w:spacing w:before="0" w:beforeAutospacing="0" w:after="0" w:afterAutospacing="0" w:line="271" w:lineRule="auto"/>
        <w:ind w:firstLine="567"/>
        <w:jc w:val="both"/>
      </w:pPr>
      <w:r>
        <w:t>_________</w:t>
      </w:r>
      <w:r w:rsidR="00E36979" w:rsidRPr="00D708FA">
        <w:t xml:space="preserve"> Восемнадцатый арбитражный апелляционный суд вынес постановление № </w:t>
      </w:r>
      <w:r>
        <w:t>________</w:t>
      </w:r>
      <w:r w:rsidR="00E36979" w:rsidRPr="00D708FA">
        <w:t xml:space="preserve"> от </w:t>
      </w:r>
      <w:r>
        <w:t>_________</w:t>
      </w:r>
      <w:r w:rsidR="00E36979" w:rsidRPr="00D708FA">
        <w:t xml:space="preserve"> года по делу № </w:t>
      </w:r>
      <w:r>
        <w:t>__________</w:t>
      </w:r>
      <w:r w:rsidR="00E36979" w:rsidRPr="00D708FA">
        <w:t xml:space="preserve">, согласно которому определение Арбитражного суда Республики Башкортостан </w:t>
      </w:r>
      <w:proofErr w:type="gramStart"/>
      <w:r w:rsidR="00E36979" w:rsidRPr="00D708FA">
        <w:t>от</w:t>
      </w:r>
      <w:proofErr w:type="gramEnd"/>
      <w:r w:rsidR="00E36979" w:rsidRPr="00D708FA">
        <w:t xml:space="preserve"> </w:t>
      </w:r>
      <w:r>
        <w:t>______________</w:t>
      </w:r>
      <w:r w:rsidR="00E36979" w:rsidRPr="00D708FA">
        <w:t xml:space="preserve"> </w:t>
      </w:r>
      <w:proofErr w:type="gramStart"/>
      <w:r w:rsidR="00E36979" w:rsidRPr="00D708FA">
        <w:t>по</w:t>
      </w:r>
      <w:proofErr w:type="gramEnd"/>
      <w:r w:rsidR="00E36979" w:rsidRPr="00D708FA">
        <w:t xml:space="preserve"> делу №</w:t>
      </w:r>
      <w:r>
        <w:t>______________</w:t>
      </w:r>
      <w:r w:rsidR="00E36979" w:rsidRPr="00D708FA">
        <w:t xml:space="preserve"> </w:t>
      </w:r>
      <w:r w:rsidR="00516D2C" w:rsidRPr="00D708FA">
        <w:t xml:space="preserve">об отказе в признании сделок должника на сумму </w:t>
      </w:r>
      <w:r>
        <w:t>___________</w:t>
      </w:r>
      <w:r w:rsidR="00516D2C" w:rsidRPr="00D708FA">
        <w:t xml:space="preserve"> рублей </w:t>
      </w:r>
      <w:r w:rsidR="00E36979" w:rsidRPr="00D708FA">
        <w:t>остав</w:t>
      </w:r>
      <w:r w:rsidR="00516D2C" w:rsidRPr="00D708FA">
        <w:t xml:space="preserve">лено </w:t>
      </w:r>
      <w:r w:rsidR="00E36979" w:rsidRPr="00D708FA">
        <w:t xml:space="preserve">без изменения, </w:t>
      </w:r>
      <w:r w:rsidR="00516D2C" w:rsidRPr="00D708FA">
        <w:t xml:space="preserve">а </w:t>
      </w:r>
      <w:r w:rsidR="00E36979" w:rsidRPr="00D708FA">
        <w:t xml:space="preserve">апелляционную жалобу </w:t>
      </w:r>
      <w:r>
        <w:t>___________________</w:t>
      </w:r>
      <w:r w:rsidR="00E36979" w:rsidRPr="00D708FA">
        <w:t xml:space="preserve"> – без удовлетворения. При этом суд в </w:t>
      </w:r>
      <w:r w:rsidR="00CD5053" w:rsidRPr="00D708FA">
        <w:t xml:space="preserve">указанном </w:t>
      </w:r>
      <w:r w:rsidR="00E36979" w:rsidRPr="00D708FA">
        <w:t xml:space="preserve">постановлении </w:t>
      </w:r>
      <w:r w:rsidR="00FE79EF" w:rsidRPr="00D708FA">
        <w:t>установил</w:t>
      </w:r>
      <w:r w:rsidR="00E36979" w:rsidRPr="00D708FA">
        <w:t xml:space="preserve">, что конкурсным управляющим </w:t>
      </w:r>
      <w:r>
        <w:t>___________________</w:t>
      </w:r>
      <w:r w:rsidR="00E36979" w:rsidRPr="00D708FA">
        <w:t xml:space="preserve"> пропущен срок исковой давности для предъявления заявления об оспаривании подозрительных сделок должника на сумму</w:t>
      </w:r>
      <w:r w:rsidR="00FE79EF" w:rsidRPr="00D708FA">
        <w:t xml:space="preserve"> </w:t>
      </w:r>
      <w:r>
        <w:t>____________</w:t>
      </w:r>
      <w:r w:rsidR="00FE79EF" w:rsidRPr="00D708FA">
        <w:t xml:space="preserve"> руб., указав, что процедура конкурсного производства в отношении должника введена </w:t>
      </w:r>
      <w:r>
        <w:t>______________</w:t>
      </w:r>
      <w:r w:rsidR="00FE79EF" w:rsidRPr="00D708FA">
        <w:t xml:space="preserve">, конкурсным управляющим утвержден </w:t>
      </w:r>
      <w:r>
        <w:t>_________________</w:t>
      </w:r>
      <w:r w:rsidR="00FE79EF" w:rsidRPr="00D708FA">
        <w:t xml:space="preserve">, срок исковой давности начал течь еще с </w:t>
      </w:r>
      <w:r>
        <w:t>______________ года</w:t>
      </w:r>
      <w:proofErr w:type="gramStart"/>
      <w:r>
        <w:t xml:space="preserve"> </w:t>
      </w:r>
      <w:r w:rsidR="00FE79EF" w:rsidRPr="00D708FA">
        <w:t>,</w:t>
      </w:r>
      <w:proofErr w:type="gramEnd"/>
      <w:r w:rsidR="00FE79EF" w:rsidRPr="00D708FA">
        <w:t xml:space="preserve"> истек не позднее </w:t>
      </w:r>
      <w:r>
        <w:t>____________</w:t>
      </w:r>
      <w:r w:rsidR="00FE79EF" w:rsidRPr="00D708FA">
        <w:t xml:space="preserve"> года. Однако</w:t>
      </w:r>
      <w:proofErr w:type="gramStart"/>
      <w:r w:rsidR="00FE79EF" w:rsidRPr="00D708FA">
        <w:t>,</w:t>
      </w:r>
      <w:proofErr w:type="gramEnd"/>
      <w:r w:rsidR="00FE79EF" w:rsidRPr="00D708FA">
        <w:t xml:space="preserve"> рассматриваемое заявление предъявлено в суд </w:t>
      </w:r>
      <w:r>
        <w:t>______________</w:t>
      </w:r>
      <w:r w:rsidR="00FE79EF" w:rsidRPr="00D708FA">
        <w:t xml:space="preserve">, то есть после истечения срока исковой давности, спустя 4 года с момента утверждения конкурсного управляющего. Препятствий установить наличие безосновательных платежей, не подтвержденных документально, в установленный действующим законодательством срок, судебная коллегия не усматривает. Исходя из названных разъяснений, следует, что срок исковой давности для оспаривания сделки на основании 61.2 Закона о банкротстве подлежит исчислению в любом случае не ранее, чем </w:t>
      </w:r>
      <w:proofErr w:type="gramStart"/>
      <w:r w:rsidR="00FE79EF" w:rsidRPr="00D708FA">
        <w:t>с даты утверждения</w:t>
      </w:r>
      <w:proofErr w:type="gramEnd"/>
      <w:r w:rsidR="00FE79EF" w:rsidRPr="00D708FA">
        <w:t xml:space="preserve"> первого конкурсного управляющего, поскольку право оспаривать сделки по названному основанию возникает с даты введения конкурсного производства. Документы (выписки по счету, из которых конкурсному управляющему стало известно о спорных перечислениях) могли быть получены, в том числе и от Банка, доказательств направления </w:t>
      </w:r>
      <w:r w:rsidR="00FE79EF" w:rsidRPr="00D708FA">
        <w:lastRenderedPageBreak/>
        <w:t>соответствующего запроса в разумные сроки не имеется. Следовательно, первоначально утвержденный конкурсный управляющий однозначно имел возможность установить наличие оснований для оспаривания сделки (доказатель</w:t>
      </w:r>
      <w:proofErr w:type="gramStart"/>
      <w:r w:rsidR="00FE79EF" w:rsidRPr="00D708FA">
        <w:t>ств пр</w:t>
      </w:r>
      <w:proofErr w:type="gramEnd"/>
      <w:r w:rsidR="00FE79EF" w:rsidRPr="00D708FA">
        <w:t>инятия соответствующих мер не имеется). Доказательств наличия у конкурсного управляющего должника объективных препятствий в получении необходимой для оспаривания сделки должника информации, в материалы дела не представлено (статьи 9, 65 АПК РФ).</w:t>
      </w:r>
    </w:p>
    <w:p w:rsidR="00FE79EF" w:rsidRPr="00D708FA" w:rsidRDefault="00FE79EF" w:rsidP="00B73A6A">
      <w:pPr>
        <w:pStyle w:val="a6"/>
        <w:shd w:val="clear" w:color="auto" w:fill="FFFFFF"/>
        <w:spacing w:before="0" w:beforeAutospacing="0" w:after="0" w:afterAutospacing="0" w:line="271" w:lineRule="auto"/>
        <w:ind w:firstLine="426"/>
        <w:jc w:val="both"/>
      </w:pPr>
      <w:r w:rsidRPr="00D708FA">
        <w:t>Также апелляционная инстанция установила, что выводы суда первой инстанции относительно обоснованности и документального подтверждения понесенных расходов, опровергаются материалами дела.</w:t>
      </w:r>
    </w:p>
    <w:p w:rsidR="00FE79EF" w:rsidRPr="00D708FA" w:rsidRDefault="00FE79EF" w:rsidP="00B73A6A">
      <w:pPr>
        <w:pStyle w:val="a6"/>
        <w:shd w:val="clear" w:color="auto" w:fill="FFFFFF"/>
        <w:spacing w:before="0" w:beforeAutospacing="0" w:after="0" w:afterAutospacing="0" w:line="271" w:lineRule="auto"/>
        <w:ind w:firstLine="426"/>
        <w:jc w:val="both"/>
        <w:rPr>
          <w:shd w:val="clear" w:color="auto" w:fill="FFFFFF"/>
        </w:rPr>
      </w:pPr>
      <w:r w:rsidRPr="00D708FA">
        <w:t xml:space="preserve">Таким образом, </w:t>
      </w:r>
      <w:r w:rsidRPr="00D708FA">
        <w:rPr>
          <w:shd w:val="clear" w:color="auto" w:fill="FFFFFF"/>
        </w:rPr>
        <w:t>спорные сделки в любом случае были бы признаны недействительными по специальным правилам законодательства о несостоятельности в случае своевременного направления конкурсным управляющим заявления об оспаривании сделок.</w:t>
      </w:r>
    </w:p>
    <w:p w:rsidR="00E36979" w:rsidRPr="00D708FA" w:rsidRDefault="00E36979" w:rsidP="00B73A6A">
      <w:pPr>
        <w:pStyle w:val="a6"/>
        <w:shd w:val="clear" w:color="auto" w:fill="FFFFFF"/>
        <w:spacing w:before="0" w:beforeAutospacing="0" w:after="0" w:afterAutospacing="0" w:line="271" w:lineRule="auto"/>
        <w:ind w:firstLine="426"/>
        <w:jc w:val="both"/>
      </w:pPr>
      <w:proofErr w:type="gramStart"/>
      <w:r w:rsidRPr="00D708FA">
        <w:t>В силу разъяснений, изложенных в абзаце пятом пункта 32 постановления Пленума Высшего Арбитражного Суда Российской Федерации от 23.12.2010 N 63 "О некоторых вопросах, связанных с применением главы III.1 Федерального закона "О несостоятельности (банкротстве)", если исковая давность по требованию о признании сделки недействительной пропущена по вине арбитражного управляющего, то с него могут быть взысканы убытки, причиненные таким пропуском, в размере</w:t>
      </w:r>
      <w:proofErr w:type="gramEnd"/>
      <w:r w:rsidRPr="00D708FA">
        <w:t xml:space="preserve">, </w:t>
      </w:r>
      <w:proofErr w:type="gramStart"/>
      <w:r w:rsidRPr="00D708FA">
        <w:t>определяемом</w:t>
      </w:r>
      <w:proofErr w:type="gramEnd"/>
      <w:r w:rsidRPr="00D708FA">
        <w:t xml:space="preserve"> судом с учетом всех обстоятельств дела, исходя из принципов справедливости и соразмерности ответственности.</w:t>
      </w:r>
    </w:p>
    <w:p w:rsidR="00E36979" w:rsidRPr="00D708FA" w:rsidRDefault="00E36979" w:rsidP="00B73A6A">
      <w:pPr>
        <w:pStyle w:val="a6"/>
        <w:shd w:val="clear" w:color="auto" w:fill="FFFFFF"/>
        <w:spacing w:before="0" w:beforeAutospacing="0" w:after="0" w:afterAutospacing="0" w:line="271" w:lineRule="auto"/>
        <w:ind w:firstLine="426"/>
        <w:jc w:val="both"/>
      </w:pPr>
      <w:r w:rsidRPr="00D708FA">
        <w:t>Вместе с тем, названные убытки могут быть взысканы только в случае, если имеются основания полагать, что, не будь пропущена исковая давность, существовала бы высокая вероятность удовлетворения требований о признании сделки недействительной.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денежных средств  по спорным сделкам составляет </w:t>
      </w:r>
      <w:r w:rsidR="00247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превышает 1 процент от 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стоимости активов должника, определяемой на основании бухгалтерской отчетности должника за последний отчетный период. Активы должника на </w:t>
      </w:r>
      <w:r w:rsidR="00247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составляли </w:t>
      </w:r>
      <w:r w:rsidR="00247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рублей, 1% от которых составляет </w:t>
      </w:r>
      <w:r w:rsidR="00247A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рублей. 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п. 2 ст. 61.4 ФЗ РФ «О несостоятельности (банкротстве)» </w:t>
      </w:r>
      <w:hyperlink r:id="rId6" w:anchor="dst100173" w:history="1">
        <w:r w:rsidRPr="00D708F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сделки</w:t>
        </w:r>
      </w:hyperlink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 передаче имущества и принятию обязательств или обязанностей, совершаемые в </w:t>
      </w:r>
      <w:hyperlink r:id="rId7" w:anchor="dst100174" w:history="1">
        <w:r w:rsidRPr="00D708F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обычной хозяйственной деятельности</w:t>
        </w:r>
      </w:hyperlink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осуществляемой должником, не могут быть оспорены на основании </w:t>
      </w:r>
      <w:hyperlink r:id="rId8" w:anchor="dst1402" w:history="1">
        <w:r w:rsidRPr="00D708F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пункта 1 статьи 61.2</w:t>
        </w:r>
      </w:hyperlink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9" w:anchor="dst1409" w:history="1">
        <w:r w:rsidRPr="00D708F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статьи 61.3</w:t>
        </w:r>
      </w:hyperlink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настоящего Федерального закона, если цена имущества, передаваемого по одной или нескольким взаимосвязанным сделкам, или размер принятых обязательств или обязанностей не превышает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один процент стоимости активов должника, определяемой на основании бухгалтерской отчетности должника за последний отчетный период.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оспариваемые сделки могли быть оспорены на основании п. 2. ст. 61.2 Закона о банкротстве.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2 ст. 61.2 Закона о банкротстве </w:t>
      </w:r>
      <w:r w:rsidRPr="00D70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предполагается, что другая сторона знала об этом, если она признана заинтересованным лицом 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должника.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Перед заявителем по жалобе конкурсным кредитором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должник не исполнил денежные обязательства 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</w:t>
      </w:r>
      <w:r w:rsidR="00DC6B3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, после того как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по договору купли-продажи недвижимое здание от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lastRenderedPageBreak/>
        <w:t>_____________________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передали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нежилое помещение  площадью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</w:t>
      </w:r>
      <w:proofErr w:type="spellStart"/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кв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.м</w:t>
      </w:r>
      <w:proofErr w:type="spellEnd"/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, расположенное по адресу: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, что подтверждается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материалами дела о банкротстве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.</w:t>
      </w:r>
    </w:p>
    <w:p w:rsidR="005C4652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Здание в дальнейшем было перепродано по договору купли-продажи от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года, по договору купли-продажи от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года, по договору купли-продажи от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года, т.е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.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трижды), но  денежные средства должником также не получены, что подтверждается постановлением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Восемнадцатого апелляционного суда от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года по делу 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C4652" w:rsidRPr="00D708FA" w:rsidRDefault="00DC6B3E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является сыном директора должника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__________________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, следовательно, является в заинтересованным лицом в силу ст. 19 Закона о банкротстве.</w:t>
      </w:r>
      <w:proofErr w:type="gramEnd"/>
      <w:r w:rsidR="005C4652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</w:t>
      </w:r>
      <w:proofErr w:type="gramStart"/>
      <w:r w:rsidR="005C4652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Доказательства нахождения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в трудовых отношения с должником в материалах дела отсутствуют.</w:t>
      </w:r>
      <w:proofErr w:type="gramEnd"/>
    </w:p>
    <w:p w:rsidR="005C4652" w:rsidRPr="00D708FA" w:rsidRDefault="005C4652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Доказательств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а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нахождения в трудовых отношения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х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</w:t>
      </w:r>
      <w:r w:rsidR="00DC6B3E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________________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 xml:space="preserve"> </w:t>
      </w:r>
      <w:r w:rsidRPr="00D708FA">
        <w:rPr>
          <w:rFonts w:ascii="Times New Roman" w:eastAsia="Times New Roman" w:hAnsi="Times New Roman" w:cs="Times New Roman"/>
          <w:sz w:val="24"/>
          <w:szCs w:val="24"/>
          <w:u w:color="000000"/>
          <w:lang w:bidi="en-US"/>
        </w:rPr>
        <w:t>с должником в материалах дела отсутствуют.</w:t>
      </w:r>
    </w:p>
    <w:p w:rsidR="00A80629" w:rsidRPr="00D708FA" w:rsidRDefault="00CD5053" w:rsidP="00B73A6A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вывода денежных средств 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видом заработной платы и хозяйственных нужд </w:t>
      </w:r>
      <w:proofErr w:type="gramStart"/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5C4652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proofErr w:type="gramEnd"/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расчетного счета должника</w:t>
      </w:r>
      <w:r w:rsidR="003878CF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B6F98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Документальное обоснование выплат, первичная документация в материалах дела отсутствует</w:t>
      </w:r>
      <w:r w:rsidR="003878CF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9A9" w:rsidRPr="00D708FA" w:rsidRDefault="00DC6B3E" w:rsidP="00B73A6A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Аналогичных платежей в предыдущие периоды у должника не было. В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деятельность должник прекратил, отчетность в налоговый орган не сдавал.  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Пленум Высшего Арбитражного Суда Российской Федерации в пункте 5 постановления от 23.12.2010 N 63 "О некоторых вопросах, связанных с применением главы III. 1 Федерального закона «О несостоятельности (банкротстве)» разъяснил, что для признания сделки недействительной по пункту 2 статьи 61.2 Закона о банкротстве необходимо, чтобы оспаривающее сделку лицо доказало наличие совокупности всех следующих обстоятельств: </w:t>
      </w:r>
      <w:proofErr w:type="gramEnd"/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сделка была совершена с целью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причинить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имущественным правам кредиторов; 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результате совершения сделки был причинен вред имущественным правам кредиторов; 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другая сторона сделки знала или должна была знать об указанной цели должника к моменту совершения сделки. В случае недоказанности хотя бы одного из этих обстоятельств суд отказывает в признании сделки недействительной по данному основанию.</w:t>
      </w:r>
    </w:p>
    <w:p w:rsidR="00A80629" w:rsidRPr="00D708FA" w:rsidRDefault="00A80629" w:rsidP="00B73A6A">
      <w:pPr>
        <w:widowControl w:val="0"/>
        <w:autoSpaceDE w:val="0"/>
        <w:autoSpaceDN w:val="0"/>
        <w:adjustRightInd w:val="0"/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существует наличие совокупности всех указанных обстоятельств.</w:t>
      </w:r>
    </w:p>
    <w:p w:rsidR="009C522E" w:rsidRPr="00D708FA" w:rsidRDefault="00FE79EF" w:rsidP="00B73A6A">
      <w:pPr>
        <w:spacing w:after="0" w:line="271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Согласно</w:t>
      </w:r>
      <w:r w:rsidR="008D732E"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определени</w:t>
      </w:r>
      <w:r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proofErr w:type="gramEnd"/>
      <w:r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92FD2"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Верховного Суда РФ от 26.10.2017 № 305-ЭС17-8225</w:t>
      </w:r>
      <w:r w:rsidRPr="00D708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и</w:t>
      </w:r>
      <w:r w:rsidR="00E92FD2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пунктов 2, 4 статьи 20.3, пункта 2 статьи 129 Закона о банкротстве следует, что конкурсный управляющий, действуя добросовестно и разумно в интересах должника, кредиторов и общества, должен анализировать финансовое состояние должника и результаты его финансовой, хозяйственной и инвестиционной деятельности; принимать меры по защите имущества должника, а также по поиску, выявлению и возврату имущества должни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находящегося у третьих лиц.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кредиторов в целом сводятся к максимально полному удовлетворению должник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их имущественных требований.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этих интересов и возврата должнику его имущества конкурсный управляющий наделен помимо прочего правами по оспариванию по своей инициативе сделок должника (пункт 1 ста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 61.9 Закона о банкротстве).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Потенциальная осведомленность арбитражного управляющего об обстоятельствах заключения сделки устанавливается с учетом требований о стандартах поведения, предъявляемых к среднему профессиональному арбитражному управляющему, действующему разумно и проявляющему требующуюся от него по условиям оборота осмотрите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в аналогичной ситуации.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Разумный управляющий, утвержденный при введении процедуры, оперативно запрашивает всю необходимую ему для осуществления своих полномочий информацию, в том числе такую, которая может свидетельствовать о совершении подозрительных сделок и сделок с предпочтением. В частности, разумный управляющий запрашивает у руководителя должника и предыдущих управляющих бухгалтерскую и иную документацию должника (пункт 2 статьи 126 Закона о банкротстве), запрашивает у соответствующих лиц сведения о совершенных в течение трех лет до возбуждения дела о банкротстве и позднее сделках по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отчуждению имущества должника.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управляющий оценивает реальную возможность фактического восстановления нарушенных прав должника и его кредиторов в случае удовлетворения судом заявлений об оспаривании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надлежащим предъявлением в арбитражный суд требования о признании недействительным договора понимается подача заявления с соблюдением правил о форме и содержании такого заявления, а также других положений процессуального закона и Закона о банкротстве (постановление Президиума Высшего Арбитражного Суда Российской Федер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28.02.2012 N 15935/11).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профессиональный участник конкурсного производства арбитражный управляющий должен знать положения законодательства о последствиях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 срока исков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давности оспаривания сделок</w:t>
      </w:r>
      <w:proofErr w:type="gramEnd"/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разумно и осмотрительно, конкурсный управляющий понимает, что другая сторона оспариваемой сделки может получить защиту против иска об оспаривании сделки путем применения исковой давности (пункт 2 статьи 199 ГК РФ), поэтому обращается в суд в пределах годичного срока исковой давности, предусм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для оспоримых сделок.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исковой давности по заявлению об оспаривании сделки должника исчисляется с момента, когда первоначально утвержденный внешний или конкурсный управляющий узнал или должен был узнать о наличии оснований для оспаривания сделки, предусмотренной статьями 61.2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61.3 Закона о банкротстве.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исковая давность по требованию о признании сделки недействительной пропущена по вине арбитражного управляющего, то с него могут быть взысканы убытки, причиненные таким пропуском, в размере, определяемом судом с учетом всех обстоятельств дела, исходя из принципов справедливости и соразмерности ответственности (пункт 4 статьи 20.4 Закона о банкротстве, пункт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постановления N 63).</w:t>
      </w:r>
      <w:proofErr w:type="gramEnd"/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убытками, причиненными кредиторам,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утрата возможности увеличения конкурсной массы, которая произошла вследствие неправомерного бездействия конкурсного управляющего. Права конкурсных кредиторов считаются нарушенными всякий раз при причинении убытков (пункт 11 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информационного письма Президиума Высшего Арбитражного суда Российской 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22.05.2012 N 150).</w:t>
      </w:r>
    </w:p>
    <w:p w:rsidR="009C522E" w:rsidRPr="00D708FA" w:rsidRDefault="00E92FD2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гражданско-правового характера ответственности конкурсного управляющего убытки подлежат взысканию посредством доказывания истцом всех пр</w:t>
      </w:r>
      <w:r w:rsidR="004C20E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изнаков состава правонарушения</w:t>
      </w:r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22E" w:rsidRPr="00D708FA" w:rsidRDefault="008D732E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управляющего о своей деятельности, анализа финансового состояния должника, заключения о признаках преднамеренного (фиктивного) банкротства конкурсным управляющим </w:t>
      </w:r>
      <w:r w:rsidR="00F0192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кредиторам </w:t>
      </w:r>
      <w:r w:rsidR="009C522E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предоставлена не объективная </w:t>
      </w:r>
      <w:r w:rsidR="00F0192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относительно сомнительных сделок должника, а также наличия признаков преднамеренного банкротства.</w:t>
      </w:r>
    </w:p>
    <w:p w:rsidR="0000511B" w:rsidRPr="00D708FA" w:rsidRDefault="0000511B" w:rsidP="00B73A6A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момент совершения сдел</w:t>
      </w:r>
      <w:r w:rsidR="00A80629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должника имелись признаки неплатежеспособности – неисполнение обязательств </w:t>
      </w:r>
      <w:r w:rsidRPr="00D708FA">
        <w:rPr>
          <w:rFonts w:ascii="Times New Roman" w:hAnsi="Times New Roman" w:cs="Times New Roman"/>
          <w:sz w:val="24"/>
          <w:szCs w:val="24"/>
        </w:rPr>
        <w:t xml:space="preserve">с </w:t>
      </w:r>
      <w:r w:rsidR="00DC6B3E">
        <w:rPr>
          <w:rFonts w:ascii="Times New Roman" w:hAnsi="Times New Roman" w:cs="Times New Roman"/>
          <w:sz w:val="24"/>
          <w:szCs w:val="24"/>
        </w:rPr>
        <w:t>_________________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г. в размере </w:t>
      </w:r>
      <w:r w:rsidR="00DC6B3E">
        <w:rPr>
          <w:rFonts w:ascii="Times New Roman" w:hAnsi="Times New Roman" w:cs="Times New Roman"/>
          <w:sz w:val="24"/>
          <w:szCs w:val="24"/>
        </w:rPr>
        <w:t>________________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кредитор</w:t>
      </w:r>
      <w:r w:rsidR="00C05C94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05C94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C6B3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="00C05C94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недостаточност</w:t>
      </w:r>
      <w:r w:rsidR="00FE7DF1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C05C94" w:rsidRPr="00D70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имущества</w:t>
      </w:r>
      <w:r w:rsidRPr="00D708FA">
        <w:rPr>
          <w:rFonts w:ascii="Times New Roman" w:hAnsi="Times New Roman" w:cs="Times New Roman"/>
          <w:sz w:val="24"/>
          <w:szCs w:val="24"/>
        </w:rPr>
        <w:t>.</w:t>
      </w:r>
    </w:p>
    <w:p w:rsidR="003E4924" w:rsidRPr="00D708FA" w:rsidRDefault="00A80629" w:rsidP="00B73A6A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DF1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ействий по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своевременному</w:t>
      </w:r>
      <w:r w:rsidR="00FE7DF1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оспариванию сделок по отчуждению данного имущества должником конкурсный управляющий не предпринял.</w:t>
      </w:r>
    </w:p>
    <w:p w:rsidR="00B6764F" w:rsidRPr="00D708FA" w:rsidRDefault="005862FE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вероятность признания данных сделок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</w:t>
      </w:r>
      <w:r w:rsidR="00F67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бы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возвращению в конкурсную массу денежных средств на сумму более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6764F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4F" w:rsidRPr="00D708FA" w:rsidRDefault="005862FE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бездействие конкурсного управляющего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оспариванию сделок приве</w:t>
      </w:r>
      <w:r w:rsidR="00A8062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пропуску срока исковой давности, а также убыткам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C553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C28E9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proofErr w:type="gramStart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реестра</w:t>
      </w:r>
      <w:proofErr w:type="gramEnd"/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кредиторов.</w:t>
      </w:r>
      <w:r w:rsidR="005E1D83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исковая давность по требованию о признании сделки недействительной пропущена по вине арбитражного управляющего, то с него могут быть взысканы убытки, причиненные таким пропуском.</w:t>
      </w:r>
    </w:p>
    <w:p w:rsidR="00AC5530" w:rsidRPr="00D708FA" w:rsidRDefault="00AC5530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вина конкурсного управляющего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 постановлением Восемнадцатого арбитражного суда </w:t>
      </w:r>
      <w:r w:rsidRPr="00D708FA">
        <w:rPr>
          <w:rFonts w:ascii="Times New Roman" w:hAnsi="Times New Roman" w:cs="Times New Roman"/>
          <w:sz w:val="24"/>
          <w:szCs w:val="24"/>
        </w:rPr>
        <w:t xml:space="preserve">№ </w:t>
      </w:r>
      <w:r w:rsidR="00DC6B3E">
        <w:rPr>
          <w:rFonts w:ascii="Times New Roman" w:hAnsi="Times New Roman" w:cs="Times New Roman"/>
          <w:sz w:val="24"/>
          <w:szCs w:val="24"/>
        </w:rPr>
        <w:t>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от </w:t>
      </w:r>
      <w:r w:rsidR="00DC6B3E">
        <w:rPr>
          <w:rFonts w:ascii="Times New Roman" w:hAnsi="Times New Roman" w:cs="Times New Roman"/>
          <w:sz w:val="24"/>
          <w:szCs w:val="24"/>
        </w:rPr>
        <w:t>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 w:rsidR="00DC6B3E">
        <w:rPr>
          <w:rFonts w:ascii="Times New Roman" w:hAnsi="Times New Roman" w:cs="Times New Roman"/>
          <w:sz w:val="24"/>
          <w:szCs w:val="24"/>
        </w:rPr>
        <w:t>____________________</w:t>
      </w:r>
      <w:r w:rsidRPr="00D708FA">
        <w:rPr>
          <w:rFonts w:ascii="Times New Roman" w:hAnsi="Times New Roman" w:cs="Times New Roman"/>
          <w:sz w:val="24"/>
          <w:szCs w:val="24"/>
        </w:rPr>
        <w:t>.</w:t>
      </w:r>
    </w:p>
    <w:p w:rsidR="003E406C" w:rsidRPr="00D708FA" w:rsidRDefault="003E406C" w:rsidP="00B73A6A">
      <w:pPr>
        <w:shd w:val="clear" w:color="auto" w:fill="FFFFFF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="00D42B65" w:rsidRPr="00D708FA">
        <w:rPr>
          <w:rFonts w:ascii="Times New Roman" w:hAnsi="Times New Roman" w:cs="Times New Roman"/>
          <w:sz w:val="24"/>
          <w:szCs w:val="24"/>
        </w:rPr>
        <w:t>руководствуясь</w:t>
      </w:r>
      <w:r w:rsidRPr="00D708FA">
        <w:rPr>
          <w:rFonts w:ascii="Times New Roman" w:hAnsi="Times New Roman" w:cs="Times New Roman"/>
          <w:sz w:val="24"/>
          <w:szCs w:val="24"/>
        </w:rPr>
        <w:t xml:space="preserve"> ст. 20, 20.3, 61.2, 61.3, 61.9, 129 Закона о банкротстве</w:t>
      </w:r>
      <w:r w:rsidR="004C20E0" w:rsidRPr="00D708FA">
        <w:rPr>
          <w:rFonts w:ascii="Times New Roman" w:hAnsi="Times New Roman" w:cs="Times New Roman"/>
          <w:sz w:val="24"/>
          <w:szCs w:val="24"/>
        </w:rPr>
        <w:t xml:space="preserve">, ст. </w:t>
      </w:r>
      <w:r w:rsidR="004C20E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1080 ГК РФ</w:t>
      </w:r>
      <w:r w:rsidR="00AC5530"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226.16 АПК РФ</w:t>
      </w:r>
      <w:r w:rsidRPr="00D708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06C" w:rsidRPr="00D708FA" w:rsidRDefault="00DF6FAC" w:rsidP="00B73A6A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FA">
        <w:rPr>
          <w:rFonts w:ascii="Times New Roman" w:hAnsi="Times New Roman" w:cs="Times New Roman"/>
          <w:sz w:val="24"/>
          <w:szCs w:val="24"/>
        </w:rPr>
        <w:t>ПРОШУ</w:t>
      </w:r>
      <w:r w:rsidR="003E406C" w:rsidRPr="00D708FA">
        <w:rPr>
          <w:rFonts w:ascii="Times New Roman" w:hAnsi="Times New Roman" w:cs="Times New Roman"/>
          <w:sz w:val="24"/>
          <w:szCs w:val="24"/>
        </w:rPr>
        <w:t>:</w:t>
      </w:r>
    </w:p>
    <w:p w:rsidR="00DF6FAC" w:rsidRPr="00D708FA" w:rsidRDefault="00DF6FAC" w:rsidP="00B73A6A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FA">
        <w:rPr>
          <w:rFonts w:ascii="Times New Roman" w:hAnsi="Times New Roman" w:cs="Times New Roman"/>
          <w:sz w:val="24"/>
          <w:szCs w:val="24"/>
        </w:rPr>
        <w:t xml:space="preserve">Взыскать убытки с конкурсного управляющего </w:t>
      </w:r>
      <w:r w:rsidR="00DC6B3E">
        <w:rPr>
          <w:rFonts w:ascii="Times New Roman" w:hAnsi="Times New Roman" w:cs="Times New Roman"/>
          <w:sz w:val="24"/>
          <w:szCs w:val="24"/>
        </w:rPr>
        <w:t>________________</w:t>
      </w:r>
      <w:r w:rsidR="00D7345E">
        <w:rPr>
          <w:rFonts w:ascii="Times New Roman" w:hAnsi="Times New Roman" w:cs="Times New Roman"/>
          <w:sz w:val="24"/>
          <w:szCs w:val="24"/>
        </w:rPr>
        <w:t xml:space="preserve"> </w:t>
      </w:r>
      <w:r w:rsidR="00DC6B3E">
        <w:rPr>
          <w:rFonts w:ascii="Times New Roman" w:hAnsi="Times New Roman" w:cs="Times New Roman"/>
          <w:sz w:val="24"/>
          <w:szCs w:val="24"/>
        </w:rPr>
        <w:t>__________________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DC6B3E">
        <w:rPr>
          <w:rFonts w:ascii="Times New Roman" w:hAnsi="Times New Roman" w:cs="Times New Roman"/>
          <w:sz w:val="24"/>
          <w:szCs w:val="24"/>
        </w:rPr>
        <w:t>________________</w:t>
      </w:r>
      <w:r w:rsidRPr="00D708F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C6B3E">
        <w:rPr>
          <w:rFonts w:ascii="Times New Roman" w:hAnsi="Times New Roman" w:cs="Times New Roman"/>
          <w:sz w:val="24"/>
          <w:szCs w:val="24"/>
        </w:rPr>
        <w:t>_______________</w:t>
      </w:r>
      <w:r w:rsidR="005C28E9" w:rsidRPr="00D708F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6764F" w:rsidRPr="00D708FA" w:rsidRDefault="00B6764F" w:rsidP="00B73A6A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D83" w:rsidRPr="00D708FA" w:rsidRDefault="00B6764F" w:rsidP="00B73A6A">
      <w:pPr>
        <w:shd w:val="clear" w:color="auto" w:fill="FFFFFF"/>
        <w:spacing w:after="0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кредитор                                                         </w:t>
      </w:r>
      <w:r w:rsidR="00DC6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bookmarkStart w:id="0" w:name="_GoBack"/>
      <w:bookmarkEnd w:id="0"/>
    </w:p>
    <w:p w:rsidR="0016663D" w:rsidRPr="0016663D" w:rsidRDefault="0016663D" w:rsidP="001666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663D" w:rsidRPr="001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E97"/>
    <w:multiLevelType w:val="hybridMultilevel"/>
    <w:tmpl w:val="21E019F8"/>
    <w:lvl w:ilvl="0" w:tplc="20B628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C07"/>
    <w:multiLevelType w:val="hybridMultilevel"/>
    <w:tmpl w:val="68560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396D"/>
    <w:multiLevelType w:val="hybridMultilevel"/>
    <w:tmpl w:val="4370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0B97"/>
    <w:multiLevelType w:val="hybridMultilevel"/>
    <w:tmpl w:val="2A2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3C2"/>
    <w:multiLevelType w:val="hybridMultilevel"/>
    <w:tmpl w:val="19E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D66AD"/>
    <w:multiLevelType w:val="hybridMultilevel"/>
    <w:tmpl w:val="A9EE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502E0"/>
    <w:multiLevelType w:val="hybridMultilevel"/>
    <w:tmpl w:val="FD6C9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D2"/>
    <w:rsid w:val="0000511B"/>
    <w:rsid w:val="00065D9D"/>
    <w:rsid w:val="00085781"/>
    <w:rsid w:val="00092935"/>
    <w:rsid w:val="000F05A9"/>
    <w:rsid w:val="0013725B"/>
    <w:rsid w:val="0016663D"/>
    <w:rsid w:val="001669A9"/>
    <w:rsid w:val="001E4A64"/>
    <w:rsid w:val="001F37B8"/>
    <w:rsid w:val="00233717"/>
    <w:rsid w:val="00246300"/>
    <w:rsid w:val="00247A37"/>
    <w:rsid w:val="002958CE"/>
    <w:rsid w:val="00306F72"/>
    <w:rsid w:val="003878CF"/>
    <w:rsid w:val="003D629A"/>
    <w:rsid w:val="003E406C"/>
    <w:rsid w:val="003E4924"/>
    <w:rsid w:val="00413787"/>
    <w:rsid w:val="00451752"/>
    <w:rsid w:val="004B1A96"/>
    <w:rsid w:val="004C20E0"/>
    <w:rsid w:val="004C4DE5"/>
    <w:rsid w:val="004D4A14"/>
    <w:rsid w:val="00512E7A"/>
    <w:rsid w:val="00516D2C"/>
    <w:rsid w:val="00555AF3"/>
    <w:rsid w:val="0058053C"/>
    <w:rsid w:val="00583690"/>
    <w:rsid w:val="005862FE"/>
    <w:rsid w:val="005C28E9"/>
    <w:rsid w:val="005C4652"/>
    <w:rsid w:val="005E1D83"/>
    <w:rsid w:val="00640679"/>
    <w:rsid w:val="006406C2"/>
    <w:rsid w:val="006A7E26"/>
    <w:rsid w:val="006B5A71"/>
    <w:rsid w:val="006C6002"/>
    <w:rsid w:val="006E5747"/>
    <w:rsid w:val="007737D4"/>
    <w:rsid w:val="00782AEA"/>
    <w:rsid w:val="00783A2C"/>
    <w:rsid w:val="007E1C5D"/>
    <w:rsid w:val="008D732E"/>
    <w:rsid w:val="0092354D"/>
    <w:rsid w:val="009757D1"/>
    <w:rsid w:val="00994D98"/>
    <w:rsid w:val="009C05EB"/>
    <w:rsid w:val="009C522E"/>
    <w:rsid w:val="009C7B64"/>
    <w:rsid w:val="00A33457"/>
    <w:rsid w:val="00A80629"/>
    <w:rsid w:val="00AB6F98"/>
    <w:rsid w:val="00AC5530"/>
    <w:rsid w:val="00AD44BC"/>
    <w:rsid w:val="00AE3428"/>
    <w:rsid w:val="00B51D6F"/>
    <w:rsid w:val="00B6764F"/>
    <w:rsid w:val="00B73A6A"/>
    <w:rsid w:val="00BF48C0"/>
    <w:rsid w:val="00C05C94"/>
    <w:rsid w:val="00C41229"/>
    <w:rsid w:val="00C62A77"/>
    <w:rsid w:val="00C662BD"/>
    <w:rsid w:val="00C73EE1"/>
    <w:rsid w:val="00CD5053"/>
    <w:rsid w:val="00D42B65"/>
    <w:rsid w:val="00D708FA"/>
    <w:rsid w:val="00D7345E"/>
    <w:rsid w:val="00D93D6C"/>
    <w:rsid w:val="00DA0C99"/>
    <w:rsid w:val="00DC6B3E"/>
    <w:rsid w:val="00DE2E71"/>
    <w:rsid w:val="00DF6FAC"/>
    <w:rsid w:val="00E12066"/>
    <w:rsid w:val="00E152CF"/>
    <w:rsid w:val="00E3615B"/>
    <w:rsid w:val="00E36979"/>
    <w:rsid w:val="00E435CD"/>
    <w:rsid w:val="00E65DA1"/>
    <w:rsid w:val="00E92FD2"/>
    <w:rsid w:val="00EE4149"/>
    <w:rsid w:val="00F01920"/>
    <w:rsid w:val="00F464E9"/>
    <w:rsid w:val="00F672B3"/>
    <w:rsid w:val="00F729D8"/>
    <w:rsid w:val="00FA6B0E"/>
    <w:rsid w:val="00FE79EF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2"/>
  </w:style>
  <w:style w:type="paragraph" w:styleId="1">
    <w:name w:val="heading 1"/>
    <w:basedOn w:val="a"/>
    <w:next w:val="a"/>
    <w:link w:val="10"/>
    <w:uiPriority w:val="9"/>
    <w:qFormat/>
    <w:rsid w:val="0058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4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16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2"/>
  </w:style>
  <w:style w:type="paragraph" w:styleId="1">
    <w:name w:val="heading 1"/>
    <w:basedOn w:val="a"/>
    <w:next w:val="a"/>
    <w:link w:val="10"/>
    <w:uiPriority w:val="9"/>
    <w:qFormat/>
    <w:rsid w:val="0058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4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16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0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1955/05ccb2acde4b3196880ca82e2d7f4c1dfd5ea0b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0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098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1955/22f46f165baa4e483d8a0c74fe52a2cea2f43d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79874</cp:lastModifiedBy>
  <cp:revision>3</cp:revision>
  <cp:lastPrinted>2023-05-03T13:47:00Z</cp:lastPrinted>
  <dcterms:created xsi:type="dcterms:W3CDTF">2024-07-22T11:35:00Z</dcterms:created>
  <dcterms:modified xsi:type="dcterms:W3CDTF">2024-07-23T03:53:00Z</dcterms:modified>
</cp:coreProperties>
</file>